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AL.2023.22 vom 30. Oktober 2023</w:t>
      </w:r>
    </w:p>
    <w:p>
      <w:r>
        <w:t>Bs Sozialversicherungsgericht, 2023-10-30, DE</w:t>
      </w:r>
    </w:p>
    <w:p>
      <w:r>
        <w:rPr>
          <w:b/>
        </w:rPr>
        <w:t xml:space="preserve">Quelle: </w:t>
      </w:r>
      <w:r>
        <w:t>https://mcp.opencaselaw.ch/entscheid/bs_sozialversicherungsgericht_AL.2023.22</w:t>
      </w:r>
    </w:p>
    <w:p>
      <w:r>
        <w:t>FR: BS_SOZIALVERSICHERUNGSGERICHT AL.2023.22 du 30 octobre 2023</w:t>
      </w:r>
    </w:p>
    <w:p>
      <w:r>
        <w:t>IT: BS_SOZIALVERSICHERUNGSGERICHT AL.2023.22 del 30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Februar 2024</w:t>
      </w:r>
    </w:p>
    <w:p>
      <w:r>
        <w:t>Mitwirkende</w:t>
      </w:r>
    </w:p>
    <w:p>
      <w:r>
        <w:t>Dr. G. Thomi (Vorsitz), Dr. med. F. W. Eymann, S. Schenker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AL.2023.22</w:t>
      </w:r>
    </w:p>
    <w:p>
      <w:r>
        <w:t>Einspracheentscheid vom 30. Oktober 2023</w:t>
      </w:r>
    </w:p>
    <w:p>
      <w:r>
        <w:t>Einstellung in der Anspruchsberechtigung wegen selbstverschuldeter Arbeitslosigkeit gemäss Art. 44 Abs. 1 lit. a AVIV  Reduktion der Einstelldauer aufgrund der geringen Schwere der Verletzung der arbeitsvertraglichen Pflichten; Beschwerde teilweise gutgeheissen</w:t>
      </w:r>
    </w:p>
    <w:p>
      <w:r>
        <w:t>Der Präsident                                                            Der a.o.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