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AL.2023.21 vom 18. Juni 2024</w:t>
      </w:r>
    </w:p>
    <w:p>
      <w:r>
        <w:t>Bs Sozialversicherungsgericht, 2024-06-18, DE</w:t>
      </w:r>
    </w:p>
    <w:p>
      <w:r>
        <w:rPr>
          <w:b/>
        </w:rPr>
        <w:t xml:space="preserve">Quelle: </w:t>
      </w:r>
      <w:r>
        <w:t>https://mcp.opencaselaw.ch/entscheid/bs_sozialversicherungsgericht_AL.2023.21</w:t>
      </w:r>
    </w:p>
    <w:p>
      <w:r>
        <w:t>FR: BS_SOZIALVERSICHERUNGSGERICHT AL.2023.21 du 18 juin 2024</w:t>
      </w:r>
    </w:p>
    <w:p>
      <w:r>
        <w:t>IT: BS_SOZIALVERSICHERUNGSGERICHT AL.2023.21 del 18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Juni 2024</w:t>
      </w:r>
    </w:p>
    <w:p>
      <w:r>
        <w:t>Mitwirkende</w:t>
      </w:r>
    </w:p>
    <w:p>
      <w:r>
        <w:t>lic. iur. R. Schnyder (Vorsitz), Dr. med. W. Rühl, Dr. T. Fasnacht</w:t>
      </w:r>
    </w:p>
    <w:p>
      <w:r>
        <w:t>und Gerichtsschreiber MLaw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substituiert durch MLaw C____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D____,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AL.2023.21</w:t>
      </w:r>
    </w:p>
    <w:p>
      <w:r>
        <w:t>Insolvenzentschädigung; Unkostencharakter der Essensspesen bejaht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SchnyderMLaw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