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AL.2023.12 vom 10. Juli 2023</w:t>
      </w:r>
    </w:p>
    <w:p>
      <w:r>
        <w:t>Bs Sozialversicherungsgericht, 2023-07-10, DE</w:t>
      </w:r>
    </w:p>
    <w:p>
      <w:r>
        <w:rPr>
          <w:b/>
        </w:rPr>
        <w:t xml:space="preserve">Quelle: </w:t>
      </w:r>
      <w:r>
        <w:t>https://mcp.opencaselaw.ch/entscheid/bs_sozialversicherungsgericht_AL.2023.12</w:t>
      </w:r>
    </w:p>
    <w:p>
      <w:r>
        <w:t>FR: BS_SOZIALVERSICHERUNGSGERICHT AL.2023.12 du 10 juillet 2023</w:t>
      </w:r>
    </w:p>
    <w:p>
      <w:r>
        <w:t>IT: BS_SOZIALVERSICHERUNGSGERICHT AL.2023.12 del 10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Gerichtsschreiberin lic. iur. S. Dreyer</w:t>
      </w:r>
    </w:p>
    <w:p>
      <w:r>
        <w:t>Parteien</w:t>
      </w:r>
    </w:p>
    <w:p>
      <w:r>
        <w:t>A____ GmbH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</w:t>
      </w:r>
    </w:p>
    <w:p>
      <w:r>
        <w:t>Herrn lic. iur. B____,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AL.2023.12</w:t>
      </w:r>
    </w:p>
    <w:p>
      <w:r>
        <w:t>Einspracheentscheid vom 10. Juli 2023</w:t>
      </w:r>
    </w:p>
    <w:p>
      <w:r>
        <w:t>Kurzarbeitsentschädigung; normales Betriebsrisiko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