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 vom 26. April 2022</w:t>
      </w:r>
    </w:p>
    <w:p>
      <w:r>
        <w:t>Bs Sozialversicherungsgericht, 2022-04-26, DE</w:t>
      </w:r>
    </w:p>
    <w:p>
      <w:r>
        <w:rPr>
          <w:b/>
        </w:rPr>
        <w:t xml:space="preserve">Quelle: </w:t>
      </w:r>
      <w:r>
        <w:t>https://mcp.opencaselaw.ch/entscheid/bs_sozialversicherungsgericht_AL.2022.1</w:t>
      </w:r>
    </w:p>
    <w:p>
      <w:r>
        <w:t>FR: BS_SOZIALVERSICHERUNGSGERICHT AL.2022.1 du 26 avril 2022</w:t>
      </w:r>
    </w:p>
    <w:p>
      <w:r>
        <w:t>IT: BS_SOZIALVERSICHERUNGSGERICHT AL.2022.1 del 26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April 2022</w:t>
      </w:r>
    </w:p>
    <w:p>
      <w:r>
        <w:t>Mitwirkende</w:t>
      </w:r>
    </w:p>
    <w:p>
      <w:r>
        <w:t>Dr. G. Thomi (Vorsitz), lic. iur. S. Bammatter-Glättli,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AL.2022.1</w:t>
      </w:r>
    </w:p>
    <w:p>
      <w:r>
        <w:t>Einspracheentscheid vom 3. Dezember 2021</w:t>
      </w:r>
    </w:p>
    <w:p>
      <w:r>
        <w:t>Einstellung in der Anspruchsberechtigung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