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AL.2021.26 vom 12. Mai 2022</w:t>
      </w:r>
    </w:p>
    <w:p>
      <w:r>
        <w:t>Bs Sozialversicherungsgericht, 2022-05-12, DE</w:t>
      </w:r>
    </w:p>
    <w:p>
      <w:r>
        <w:rPr>
          <w:b/>
        </w:rPr>
        <w:t xml:space="preserve">Quelle: </w:t>
      </w:r>
      <w:r>
        <w:t>https://mcp.opencaselaw.ch/entscheid/bs_sozialversicherungsgericht_AL.2021.26</w:t>
      </w:r>
    </w:p>
    <w:p>
      <w:r>
        <w:t>FR: BS_SOZIALVERSICHERUNGSGERICHT AL.2021.26 du 12 mai 2022</w:t>
      </w:r>
    </w:p>
    <w:p>
      <w:r>
        <w:t>IT: BS_SOZIALVERSICHERUNGSGERICHT AL.2021.26 del 12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Mai 2022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</w:t>
      </w:r>
    </w:p>
    <w:p>
      <w:r>
        <w:t>Basel-Stadt, 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AL.2021.26</w:t>
      </w:r>
    </w:p>
    <w:p>
      <w:r>
        <w:t>Einspracheentscheid vom 21. Juni 2021</w:t>
      </w:r>
    </w:p>
    <w:p>
      <w:r>
        <w:t>Steigerung einer Nebenerwerbstätigkeit/Zwischenverdienst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