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AL.2021.24 vom 7. Juli 2021</w:t>
      </w:r>
    </w:p>
    <w:p>
      <w:r>
        <w:t>Bs Sozialversicherungsgericht, 2021-07-07, DE</w:t>
      </w:r>
    </w:p>
    <w:p>
      <w:r>
        <w:rPr>
          <w:b/>
        </w:rPr>
        <w:t xml:space="preserve">Quelle: </w:t>
      </w:r>
      <w:r>
        <w:t>https://mcp.opencaselaw.ch/entscheid/bs_sozialversicherungsgericht_AL.2021.24</w:t>
      </w:r>
    </w:p>
    <w:p>
      <w:r>
        <w:t>FR: BS_SOZIALVERSICHERUNGSGERICHT AL.2021.24 du 7 juillet 2021</w:t>
      </w:r>
    </w:p>
    <w:p>
      <w:r>
        <w:t>IT: BS_SOZIALVERSICHERUNGSGERICHT AL.2021.24 del 7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November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a.o. Gerichtsschreiber MLaw S. Sauthoff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AL.2021.24</w:t>
      </w:r>
    </w:p>
    <w:p>
      <w:r>
        <w:t>Einspracheentscheid vom 7. Juli 2021</w:t>
      </w:r>
    </w:p>
    <w:p>
      <w:r>
        <w:t>Guter Glaube im Hinblick auf einen Erlass der Rückforderung mangels grober Fahrlässigkeit gegeben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K. ZehnderMLaw S. Sauthoff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