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AL.2021.16 vom 7. Mai 2021</w:t>
      </w:r>
    </w:p>
    <w:p>
      <w:r>
        <w:t>Bs Sozialversicherungsgericht, 2021-05-07, DE</w:t>
      </w:r>
    </w:p>
    <w:p>
      <w:r>
        <w:rPr>
          <w:b/>
        </w:rPr>
        <w:t xml:space="preserve">Quelle: </w:t>
      </w:r>
      <w:r>
        <w:t>https://mcp.opencaselaw.ch/entscheid/bs_sozialversicherungsgericht_AL.2021.16</w:t>
      </w:r>
    </w:p>
    <w:p>
      <w:r>
        <w:t>FR: BS_SOZIALVERSICHERUNGSGERICHT AL.2021.16 du 7 mai 2021</w:t>
      </w:r>
    </w:p>
    <w:p>
      <w:r>
        <w:t>IT: BS_SOZIALVERSICHERUNGSGERICHT AL.2021.16 del 7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AL.2021.16</w:t>
      </w:r>
    </w:p>
    <w:p>
      <w:r>
        <w:t>Einspracheentscheid vom 7. Mai 2021</w:t>
      </w:r>
    </w:p>
    <w:p>
      <w:r>
        <w:t>Rückforderung zu Unrecht erbrachter Leistungen; Vermengung mit der Erlassthematik. Kostenverlegung nach dem Verursacherprinzp.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