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AL.2020.35 vom 12. Oktober 2020</w:t>
      </w:r>
    </w:p>
    <w:p>
      <w:r>
        <w:t>Bs Sozialversicherungsgericht, 2020-10-12, DE</w:t>
      </w:r>
    </w:p>
    <w:p>
      <w:r>
        <w:rPr>
          <w:b/>
        </w:rPr>
        <w:t xml:space="preserve">Quelle: </w:t>
      </w:r>
      <w:r>
        <w:t>https://mcp.opencaselaw.ch/entscheid/bs_sozialversicherungsgericht_AL.2020.35</w:t>
      </w:r>
    </w:p>
    <w:p>
      <w:r>
        <w:t>FR: BS_SOZIALVERSICHERUNGSGERICHT AL.2020.35 du 12 octobre 2020</w:t>
      </w:r>
    </w:p>
    <w:p>
      <w:r>
        <w:t>IT: BS_SOZIALVERSICHERUNGSGERICHT AL.2020.35 del 12 ottobre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März 2021</w:t>
      </w:r>
    </w:p>
    <w:p>
      <w:r>
        <w:t>Mitwirkende</w:t>
      </w:r>
    </w:p>
    <w:p>
      <w:r>
        <w:t>Dr. G. Thomi (Vorsitz), P. Kaderli, MLaw T. Conti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[...]vertreten durch B____, [...]</w:t>
      </w:r>
    </w:p>
    <w:p>
      <w:r>
        <w:t>Beschwerdeführerin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 Herrn C____, Hochstrasse 37, Postfach, 4002 Basel</w:t>
      </w:r>
    </w:p>
    <w:p>
      <w:r>
        <w:t>Beschwerdegegnerin</w:t>
      </w:r>
    </w:p>
    <w:p>
      <w:r>
        <w:t>Gegenstand</w:t>
      </w:r>
    </w:p>
    <w:p>
      <w:r>
        <w:t>AL.2020.35</w:t>
      </w:r>
    </w:p>
    <w:p>
      <w:r>
        <w:t>Einspracheentscheid vom 12. Oktober 2020</w:t>
      </w:r>
    </w:p>
    <w:p>
      <w:r>
        <w:t>Beschwerde gutgeheissen. Unter Berücksichtigung der gesamten Aktenlage ist überwiegend wahrscheinlich, dass die Arbeitszeitkontrolle per 1. April 2020 eingeführt worden ist.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