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AL.2020.29 vom 6. August 2020</w:t>
      </w:r>
    </w:p>
    <w:p>
      <w:r>
        <w:t>Bs Sozialversicherungsgericht, 2020-08-06, DE</w:t>
      </w:r>
    </w:p>
    <w:p>
      <w:r>
        <w:rPr>
          <w:b/>
        </w:rPr>
        <w:t xml:space="preserve">Quelle: </w:t>
      </w:r>
      <w:r>
        <w:t>https://mcp.opencaselaw.ch/entscheid/bs_sozialversicherungsgericht_AL.2020.29</w:t>
      </w:r>
    </w:p>
    <w:p>
      <w:r>
        <w:t>FR: BS_SOZIALVERSICHERUNGSGERICHT AL.2020.29 du 6 août 2020</w:t>
      </w:r>
    </w:p>
    <w:p>
      <w:r>
        <w:t>IT: BS_SOZIALVERSICHERUNGSGERICHT AL.2020.29 del 6 agosto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15. Februar 2021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Herrn lic. iur. C____, Hochstrasse 37, Postfach, 4002 Basel</w:t>
      </w:r>
    </w:p>
    <w:p>
      <w:r>
        <w:t>Beschwerdegegnerin</w:t>
      </w:r>
    </w:p>
    <w:p>
      <w:r>
        <w:t>Gegenstand</w:t>
      </w:r>
    </w:p>
    <w:p>
      <w:r>
        <w:t>AL.2020.29</w:t>
      </w:r>
    </w:p>
    <w:p>
      <w:r>
        <w:t>Einspracheentscheid vom 6. August 2020</w:t>
      </w:r>
    </w:p>
    <w:p>
      <w:r>
        <w:t>Anspruch auf Arbeitslosenentschädigung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