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AL.2020.27 vom 29. Juni 2020</w:t>
      </w:r>
    </w:p>
    <w:p>
      <w:r>
        <w:t>Bs Sozialversicherungsgericht, 2020-06-29, DE</w:t>
      </w:r>
    </w:p>
    <w:p>
      <w:r>
        <w:rPr>
          <w:b/>
        </w:rPr>
        <w:t xml:space="preserve">Quelle: </w:t>
      </w:r>
      <w:r>
        <w:t>https://mcp.opencaselaw.ch/entscheid/bs_sozialversicherungsgericht_AL.2020.27</w:t>
      </w:r>
    </w:p>
    <w:p>
      <w:r>
        <w:t>FR: BS_SOZIALVERSICHERUNGSGERICHT AL.2020.27 du 29 juin 2020</w:t>
      </w:r>
    </w:p>
    <w:p>
      <w:r>
        <w:t>IT: BS_SOZIALVERSICHERUNGSGERICHT AL.2020.27 del 29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November 2020</w:t>
      </w:r>
    </w:p>
    <w:p>
      <w:r>
        <w:t>Mitwirkende</w:t>
      </w:r>
    </w:p>
    <w:p>
      <w:r>
        <w:t>Dr. G. Thomi (Vorsitz), lic. phil. D. Borer, lic. iur. M. Fuchs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[...], Frau B____, [...]</w:t>
      </w:r>
    </w:p>
    <w:p>
      <w:r>
        <w:t>Beschwerdeführer</w:t>
      </w:r>
    </w:p>
    <w:p>
      <w:r>
        <w:t>C____ Arbeitslosenkasse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AL.2020.27</w:t>
      </w:r>
    </w:p>
    <w:p>
      <w:r>
        <w:t>Einspracheentscheid vom 29. Juni 2020</w:t>
      </w:r>
    </w:p>
    <w:p>
      <w:r>
        <w:t>Rahmenfrist für den Leistungsbezug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