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AL.2020.23 vom 29. Mai 2020</w:t>
      </w:r>
    </w:p>
    <w:p>
      <w:r>
        <w:t>Bs Sozialversicherungsgericht, 2020-05-29, DE</w:t>
      </w:r>
    </w:p>
    <w:p>
      <w:r>
        <w:rPr>
          <w:b/>
        </w:rPr>
        <w:t xml:space="preserve">Quelle: </w:t>
      </w:r>
      <w:r>
        <w:t>https://mcp.opencaselaw.ch/entscheid/bs_sozialversicherungsgericht_AL.2020.23</w:t>
      </w:r>
    </w:p>
    <w:p>
      <w:r>
        <w:t>FR: BS_SOZIALVERSICHERUNGSGERICHT AL.2020.23 du 29 mai 2020</w:t>
      </w:r>
    </w:p>
    <w:p>
      <w:r>
        <w:t>IT: BS_SOZIALVERSICHERUNGSGERICHT AL.2020.23 del 29 maggio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vom7. Januar 2021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[...], Hochstrasse 37, Postfach, 4002 Basel</w:t>
      </w:r>
    </w:p>
    <w:p>
      <w:r>
        <w:t>Beschwerdegegnerin</w:t>
      </w:r>
    </w:p>
    <w:p>
      <w:r>
        <w:t>Gegenstand</w:t>
      </w:r>
    </w:p>
    <w:p>
      <w:r>
        <w:t>AL.2020.23</w:t>
      </w:r>
    </w:p>
    <w:p>
      <w:r>
        <w:t>Einspracheentscheid vom 29. Mai 2020</w:t>
      </w:r>
    </w:p>
    <w:p>
      <w:r>
        <w:t>Arbeitgeberähnliche Stellung im Betrieb 1, jedoch nicht im Betrieb 2, wo Versicherter die Stelle verliert. Im Betrieb 2 wurde die Beitragszeit von mindestens 6 Monaten nicht erfüllt.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