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AL.2019.7 vom 23. Januar 2019</w:t>
      </w:r>
    </w:p>
    <w:p>
      <w:r>
        <w:t>Bs Sozialversicherungsgericht, 2019-01-23, DE</w:t>
      </w:r>
    </w:p>
    <w:p>
      <w:r>
        <w:rPr>
          <w:b/>
        </w:rPr>
        <w:t xml:space="preserve">Quelle: </w:t>
      </w:r>
      <w:r>
        <w:t>https://mcp.opencaselaw.ch/entscheid/bs_sozialversicherungsgericht_AL.2019.7</w:t>
      </w:r>
    </w:p>
    <w:p>
      <w:r>
        <w:t>FR: BS_SOZIALVERSICHERUNGSGERICHT AL.2019.7 du 23 janvier 2019</w:t>
      </w:r>
    </w:p>
    <w:p>
      <w:r>
        <w:t>IT: BS_SOZIALVERSICHERUNGSGERICHT AL.2019.7 del 23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vom25. April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AL.2019.7</w:t>
      </w:r>
    </w:p>
    <w:p>
      <w:r>
        <w:t>Einspracheentscheid vom 23. Januar 2019</w:t>
      </w:r>
    </w:p>
    <w:p>
      <w:r>
        <w:t>Keine Kumulation von Betragszeiten und Zeiten der Beitragsbefreiung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K. ZehnderN. Bleskie, BLaw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