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AL.2019.32 vom 10. September 2019</w:t>
      </w:r>
    </w:p>
    <w:p>
      <w:r>
        <w:t>Bs Sozialversicherungsgericht, 2019-09-10, DE</w:t>
      </w:r>
    </w:p>
    <w:p>
      <w:r>
        <w:rPr>
          <w:b/>
        </w:rPr>
        <w:t xml:space="preserve">Quelle: </w:t>
      </w:r>
      <w:r>
        <w:t>https://mcp.opencaselaw.ch/entscheid/bs_sozialversicherungsgericht_AL.2019.32</w:t>
      </w:r>
    </w:p>
    <w:p>
      <w:r>
        <w:t>FR: BS_SOZIALVERSICHERUNGSGERICHT AL.2019.32 du 10 septembre 2019</w:t>
      </w:r>
    </w:p>
    <w:p>
      <w:r>
        <w:t>IT: BS_SOZIALVERSICHERUNGSGERICHT AL.2019.32 del 10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März 2020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AL.2019.32</w:t>
      </w:r>
    </w:p>
    <w:p>
      <w:r>
        <w:t>Einspracheentscheid vom 10. September 2019</w:t>
      </w:r>
    </w:p>
    <w:p>
      <w:r>
        <w:t>Nichtigkeit; Abstellen auf die effektiv bezogenen Lohnzahlungen bei der Prüfung der erfüllten Beitragszeit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