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AL.2019.3 vom 8. Januar 2019</w:t>
      </w:r>
    </w:p>
    <w:p>
      <w:r>
        <w:t>Bs Sozialversicherungsgericht, 2019-01-08, DE</w:t>
      </w:r>
    </w:p>
    <w:p>
      <w:r>
        <w:rPr>
          <w:b/>
        </w:rPr>
        <w:t xml:space="preserve">Quelle: </w:t>
      </w:r>
      <w:r>
        <w:t>https://mcp.opencaselaw.ch/entscheid/bs_sozialversicherungsgericht_AL.2019.3</w:t>
      </w:r>
    </w:p>
    <w:p>
      <w:r>
        <w:t>FR: BS_SOZIALVERSICHERUNGSGERICHT AL.2019.3 du 8 janvier 2019</w:t>
      </w:r>
    </w:p>
    <w:p>
      <w:r>
        <w:t>IT: BS_SOZIALVERSICHERUNGSGERICHT AL.2019.3 del 8 gennaio 2019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vom18. September 2019</w:t>
      </w:r>
    </w:p>
    <w:p>
      <w:r>
        <w:t>Mitwirkende</w:t>
      </w:r>
    </w:p>
    <w:p>
      <w:r>
        <w:t>Dr. A. Pfleiderer (Vorsitz), P. Waegeli, lic. iur. R. Schnyder</w:t>
      </w:r>
    </w:p>
    <w:p>
      <w:r>
        <w:t>und Gerichtsschreiberin MLaw L. Marti</w:t>
      </w:r>
    </w:p>
    <w:p>
      <w:r>
        <w:t>Parteien</w:t>
      </w:r>
    </w:p>
    <w:p>
      <w:r>
        <w:t>A____</w:t>
      </w:r>
    </w:p>
    <w:p>
      <w:r>
        <w:t>Beschwerdeführer</w:t>
      </w:r>
    </w:p>
    <w:p>
      <w:r>
        <w:t>Öffentliche Arbeitslosenkasse Basel-Stadt</w:t>
      </w:r>
    </w:p>
    <w:p>
      <w:r>
        <w:t>Hochstrasse 37, Postfach 3759, 4002 Basel</w:t>
      </w:r>
    </w:p>
    <w:p>
      <w:r>
        <w:t>vertreten durch Amt für Wirtschaft und Arbeit, B____</w:t>
      </w:r>
    </w:p>
    <w:p>
      <w:r>
        <w:t>Beschwerdegegnerin</w:t>
      </w:r>
    </w:p>
    <w:p>
      <w:r>
        <w:t>Gegenstand</w:t>
      </w:r>
    </w:p>
    <w:p>
      <w:r>
        <w:t>AL.2019.3</w:t>
      </w:r>
    </w:p>
    <w:p>
      <w:r>
        <w:t>Einspracheentscheid vom 8. Januar 2019</w:t>
      </w:r>
    </w:p>
    <w:p>
      <w:r>
        <w:t>Keine Insolvenzentschädigung bei Verletzung der Schadenminderungspflicht</w:t>
      </w:r>
    </w:p>
    <w:p>
      <w:r>
        <w:t>Die Präsidentin                                                         Die Gerichtsschreiberin</w:t>
      </w:r>
    </w:p>
    <w:p>
      <w:r>
        <w:t>Dr. A. PfleidererMLaw L. Marti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  Die Beschwerdeschrift ist in einer Amtssprache abzufassen und hat die Begehren, deren Begründung mit Angabe der Beweismittel und die Unterschrift zu enthalten;</w:t>
      </w:r>
    </w:p>
    <w:p>
      <w:r>
        <w:t>b)            in der Begründung ist in gedrängter Form darzulegen, inwiefern der angefochtene Entscheid Recht verletzt;</w:t>
      </w:r>
    </w:p>
    <w:p>
      <w:r>
        <w:t>c)  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