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AL.2019.29 vom 22. August 2019</w:t>
      </w:r>
    </w:p>
    <w:p>
      <w:r>
        <w:t>Bs Sozialversicherungsgericht, 2019-08-22, DE</w:t>
      </w:r>
    </w:p>
    <w:p>
      <w:r>
        <w:rPr>
          <w:b/>
        </w:rPr>
        <w:t xml:space="preserve">Quelle: </w:t>
      </w:r>
      <w:r>
        <w:t>https://mcp.opencaselaw.ch/entscheid/bs_sozialversicherungsgericht_AL.2019.29</w:t>
      </w:r>
    </w:p>
    <w:p>
      <w:r>
        <w:t>FR: BS_SOZIALVERSICHERUNGSGERICHT AL.2019.29 du 22 août 2019</w:t>
      </w:r>
    </w:p>
    <w:p>
      <w:r>
        <w:t>IT: BS_SOZIALVERSICHERUNGSGERICHT AL.2019.29 del 22 agosto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Februar 2020</w:t>
      </w:r>
    </w:p>
    <w:p>
      <w:r>
        <w:t>Mitwirkende</w:t>
      </w:r>
    </w:p>
    <w:p>
      <w:r>
        <w:t>Dr. G. Thomi (Vorsitz), P. Waegeli, lic. iur. R. Schnyder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B____</w:t>
      </w:r>
    </w:p>
    <w:p>
      <w:r>
        <w:t>Beschwerdegegnerin</w:t>
      </w:r>
    </w:p>
    <w:p>
      <w:r>
        <w:t>Gegenstand</w:t>
      </w:r>
    </w:p>
    <w:p>
      <w:r>
        <w:t>AL.2019.29</w:t>
      </w:r>
    </w:p>
    <w:p>
      <w:r>
        <w:t>Einspracheentscheid vom 22. August 2019</w:t>
      </w:r>
    </w:p>
    <w:p>
      <w:r>
        <w:t>Vermittlungsfähigkeit, insb. die Komponente der Arbeitsberechtigung im Rahmen staatsvertraglicher und ausländerrechtlicher Vorgaben.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