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AL.2019.22 vom 17. Juni 2019</w:t>
      </w:r>
    </w:p>
    <w:p>
      <w:r>
        <w:t>Bs Sozialversicherungsgericht, 2019-06-17, DE</w:t>
      </w:r>
    </w:p>
    <w:p>
      <w:r>
        <w:rPr>
          <w:b/>
        </w:rPr>
        <w:t xml:space="preserve">Quelle: </w:t>
      </w:r>
      <w:r>
        <w:t>https://mcp.opencaselaw.ch/entscheid/bs_sozialversicherungsgericht_AL.2019.22</w:t>
      </w:r>
    </w:p>
    <w:p>
      <w:r>
        <w:t>FR: BS_SOZIALVERSICHERUNGSGERICHT AL.2019.22 du 17 juin 2019</w:t>
      </w:r>
    </w:p>
    <w:p>
      <w:r>
        <w:t>IT: BS_SOZIALVERSICHERUNGSGERICHT AL.2019.22 del 17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24. Oktober 2019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Kantonale Amtsstelle für ALV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[...], Hochstrasse 37,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AL.2019.22</w:t>
      </w:r>
    </w:p>
    <w:p>
      <w:r>
        <w:t>Einspracheentscheid vom 17. Juni 2019</w:t>
      </w:r>
    </w:p>
    <w:p>
      <w:r>
        <w:t>Nachweis des Lohnflusses, wenn Ehepartner in arbeitgeberähnlicher Stellung</w:t>
      </w:r>
    </w:p>
    <w:p>
      <w:r>
        <w:t>Die Präsidentin                                                         Der Gerichtsschreiber: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