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AL.2018.5 vom 5. Februar 2018</w:t>
      </w:r>
    </w:p>
    <w:p>
      <w:r>
        <w:t>Bs Sozialversicherungsgericht, 2018-02-05, DE</w:t>
      </w:r>
    </w:p>
    <w:p>
      <w:r>
        <w:rPr>
          <w:b/>
        </w:rPr>
        <w:t xml:space="preserve">Quelle: </w:t>
      </w:r>
      <w:r>
        <w:t>https://mcp.opencaselaw.ch/entscheid/bs_sozialversicherungsgericht_AL.2018.5</w:t>
      </w:r>
    </w:p>
    <w:p>
      <w:r>
        <w:t>FR: BS_SOZIALVERSICHERUNGSGERICHT AL.2018.5 du 5 février 2018</w:t>
      </w:r>
    </w:p>
    <w:p>
      <w:r>
        <w:t>IT: BS_SOZIALVERSICHERUNGSGERICHT AL.2018.5 del 5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August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Herrn lic. iur. [...], Hochstrasse 37,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AL.2018.5</w:t>
      </w:r>
    </w:p>
    <w:p>
      <w:r>
        <w:t>Einspracheentscheid vom 5. Februar 2018</w:t>
      </w:r>
    </w:p>
    <w:p>
      <w:r>
        <w:t>Einstellung wegen ungenügenden Arbeitsbemühungen ist rechtmässig; Vertrauensschutz ist nicht gegeben.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