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AL.2018.19 vom 2. Juli 2018</w:t>
      </w:r>
    </w:p>
    <w:p>
      <w:r>
        <w:t>Bs Sozialversicherungsgericht, 2018-07-02, DE</w:t>
      </w:r>
    </w:p>
    <w:p>
      <w:r>
        <w:rPr>
          <w:b/>
        </w:rPr>
        <w:t xml:space="preserve">Quelle: </w:t>
      </w:r>
      <w:r>
        <w:t>https://mcp.opencaselaw.ch/entscheid/bs_sozialversicherungsgericht_AL.2018.19</w:t>
      </w:r>
    </w:p>
    <w:p>
      <w:r>
        <w:t>FR: BS_SOZIALVERSICHERUNGSGERICHT AL.2018.19 du 2 juillet 2018</w:t>
      </w:r>
    </w:p>
    <w:p>
      <w:r>
        <w:t>IT: BS_SOZIALVERSICHERUNGSGERICHT AL.2018.19 del 2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2018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AL.2018.19</w:t>
      </w:r>
    </w:p>
    <w:p>
      <w:r>
        <w:t>Einspracheentscheid vom 2. Juli 2018</w:t>
      </w:r>
    </w:p>
    <w:p>
      <w:r>
        <w:t>Einstellung in der Anspruchsberechtigung bei Selbstkündigung aus gesundheitlichen Gründen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