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AL.2018.14 vom 8. Mai 2018</w:t>
      </w:r>
    </w:p>
    <w:p>
      <w:r>
        <w:t>Bs Sozialversicherungsgericht, 2018-05-08, DE</w:t>
      </w:r>
    </w:p>
    <w:p>
      <w:r>
        <w:rPr>
          <w:b/>
        </w:rPr>
        <w:t xml:space="preserve">Quelle: </w:t>
      </w:r>
      <w:r>
        <w:t>https://mcp.opencaselaw.ch/entscheid/bs_sozialversicherungsgericht_AL.2018.14</w:t>
      </w:r>
    </w:p>
    <w:p>
      <w:r>
        <w:t>FR: BS_SOZIALVERSICHERUNGSGERICHT AL.2018.14 du 8 mai 2018</w:t>
      </w:r>
    </w:p>
    <w:p>
      <w:r>
        <w:t>IT: BS_SOZIALVERSICHERUNGSGERICHT AL.2018.14 del 8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2018</w:t>
      </w:r>
    </w:p>
    <w:p>
      <w:r>
        <w:t>Mitwirkende</w:t>
      </w:r>
    </w:p>
    <w:p>
      <w:r>
        <w:t>Dr. A. Pfleiderer (Vorsitz), R. Köhler,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AL.2018.14</w:t>
      </w:r>
    </w:p>
    <w:p>
      <w:r>
        <w:t>Einspracheentscheid vom 8. Mai 2018</w:t>
      </w:r>
    </w:p>
    <w:p>
      <w:r>
        <w:t>Vertrauensschutz; Voraussetzungen der Wiedererwägung einer Verfügung gemäss Art. 53 Abs. 2 ATSG gegeben; Rückforderung rechtmässig.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