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AH.2022.7 vom 20. April 2023</w:t>
      </w:r>
    </w:p>
    <w:p>
      <w:r>
        <w:t>Bs Sozialversicherungsgericht, 2023-04-20, DE</w:t>
      </w:r>
    </w:p>
    <w:p>
      <w:r>
        <w:rPr>
          <w:b/>
        </w:rPr>
        <w:t xml:space="preserve">Quelle: </w:t>
      </w:r>
      <w:r>
        <w:t>https://mcp.opencaselaw.ch/entscheid/bs_sozialversicherungsgericht_AH.2022.7</w:t>
      </w:r>
    </w:p>
    <w:p>
      <w:r>
        <w:t>FR: BS_SOZIALVERSICHERUNGSGERICHT AH.2022.7 du 20 avril 2023</w:t>
      </w:r>
    </w:p>
    <w:p>
      <w:r>
        <w:t>IT: BS_SOZIALVERSICHERUNGSGERICHT AH.2022.7 del 20 aprile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20. April 2023</w:t>
      </w:r>
    </w:p>
    <w:p>
      <w:r>
        <w:t>Mitwirkende</w:t>
      </w:r>
    </w:p>
    <w:p>
      <w:r>
        <w:t>lic. iur. R. Schnyder (Vorsitz), MLaw A. Zalad,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 AG, lic. iur. C____, Rechtsanwalt, Lange Gasse 15, 4002 Basel</w:t>
      </w:r>
    </w:p>
    <w:p>
      <w:r>
        <w:t>Beschwerdeführer</w:t>
      </w:r>
    </w:p>
    <w:p>
      <w:r>
        <w:t>D____ Ausgleichskasse,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AH.2022.7</w:t>
      </w:r>
    </w:p>
    <w:p>
      <w:r>
        <w:t>Einspracheentscheid vom 14. Oktober 2022</w:t>
      </w:r>
    </w:p>
    <w:p>
      <w:r>
        <w:t>Schadenersatz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