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AH.2022.5 vom 1. September 2022</w:t>
      </w:r>
    </w:p>
    <w:p>
      <w:r>
        <w:t>Bs Sozialversicherungsgericht, 2022-09-01, DE</w:t>
      </w:r>
    </w:p>
    <w:p>
      <w:r>
        <w:rPr>
          <w:b/>
        </w:rPr>
        <w:t xml:space="preserve">Quelle: </w:t>
      </w:r>
      <w:r>
        <w:t>https://mcp.opencaselaw.ch/entscheid/bs_sozialversicherungsgericht_AH.2022.5</w:t>
      </w:r>
    </w:p>
    <w:p>
      <w:r>
        <w:t>FR: BS_SOZIALVERSICHERUNGSGERICHT AH.2022.5 du 1 septembre 2022</w:t>
      </w:r>
    </w:p>
    <w:p>
      <w:r>
        <w:t>IT: BS_SOZIALVERSICHERUNGSGERICHT AH.2022.5 del 1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AH.2022.5</w:t>
      </w:r>
    </w:p>
    <w:p>
      <w:r>
        <w:t>Einspracheentscheid vom 1. September 2022</w:t>
      </w:r>
    </w:p>
    <w:p>
      <w:r>
        <w:t>Versicherungsunterstellung der Beschwerdeführerin in der Schweiz ist zu bejahen. Beschwerdeführerin ist für 2021 beitragspflichtig. Gebühr wegen leichtsinniger Prozessführung.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