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AH.2022.2 vom 15. Dezember 2022</w:t>
      </w:r>
    </w:p>
    <w:p>
      <w:r>
        <w:t>Bs Sozialversicherungsgericht, 2022-12-15, DE</w:t>
      </w:r>
    </w:p>
    <w:p>
      <w:r>
        <w:rPr>
          <w:b/>
        </w:rPr>
        <w:t xml:space="preserve">Quelle: </w:t>
      </w:r>
      <w:r>
        <w:t>https://mcp.opencaselaw.ch/entscheid/bs_sozialversicherungsgericht_AH.2022.2</w:t>
      </w:r>
    </w:p>
    <w:p>
      <w:r>
        <w:t>FR: BS_SOZIALVERSICHERUNGSGERICHT AH.2022.2 du 15 décembre 2022</w:t>
      </w:r>
    </w:p>
    <w:p>
      <w:r>
        <w:t>IT: BS_SOZIALVERSICHERUNGSGERICHT AH.2022.2 del 15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Dezember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AH.2022.2</w:t>
      </w:r>
    </w:p>
    <w:p>
      <w:r>
        <w:t>Einspracheentscheid</w:t>
      </w:r>
    </w:p>
    <w:p>
      <w:r>
        <w:t>Revisionsanstrag betreffend Hilflosenentschädigung. Bisheriger Grad der Hilflosigkeit leichten Grades bestätigt.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