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AH.2019.4 vom 27. Februar 2019</w:t>
      </w:r>
    </w:p>
    <w:p>
      <w:r>
        <w:t>Bs Sozialversicherungsgericht, 2019-02-27, DE</w:t>
      </w:r>
    </w:p>
    <w:p>
      <w:r>
        <w:rPr>
          <w:b/>
        </w:rPr>
        <w:t xml:space="preserve">Quelle: </w:t>
      </w:r>
      <w:r>
        <w:t>https://mcp.opencaselaw.ch/entscheid/bs_sozialversicherungsgericht_AH.2019.4</w:t>
      </w:r>
    </w:p>
    <w:p>
      <w:r>
        <w:t>FR: BS_SOZIALVERSICHERUNGSGERICHT AH.2019.4 du 27 février 2019</w:t>
      </w:r>
    </w:p>
    <w:p>
      <w:r>
        <w:t>IT: BS_SOZIALVERSICHERUNGSGERICHT AH.2019.4 del 27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September 2019</w:t>
      </w:r>
    </w:p>
    <w:p>
      <w:r>
        <w:t>Mitwirkende</w:t>
      </w:r>
    </w:p>
    <w:p>
      <w:r>
        <w:t>lic. iur. K. Zehnder (Vorsitz), lic. iur. M. Spöndlin, MLaw T. Conti</w:t>
      </w:r>
    </w:p>
    <w:p>
      <w:r>
        <w:t>und a.o. Gerichtsschreiberin MLaw I. Mostert Meier</w:t>
      </w:r>
    </w:p>
    <w:p>
      <w:r>
        <w:t>Parteien</w:t>
      </w:r>
    </w:p>
    <w:p>
      <w:r>
        <w:t>VereinA____</w:t>
      </w:r>
    </w:p>
    <w:p>
      <w:r>
        <w:t>[...]</w:t>
      </w:r>
    </w:p>
    <w:p>
      <w:r>
        <w:t>Beschwerdeführer</w:t>
      </w:r>
    </w:p>
    <w:p>
      <w:r>
        <w:t>Ausgleichskasse Basel-Stadt</w:t>
      </w:r>
    </w:p>
    <w:p>
      <w:r>
        <w:t>Wettsteinplatz 1, Postfach, 4001 Basel</w:t>
      </w:r>
    </w:p>
    <w:p>
      <w:r>
        <w:t>Beschwerdegegnerin</w:t>
      </w:r>
    </w:p>
    <w:p>
      <w:r>
        <w:t>B____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AH.2019.4</w:t>
      </w:r>
    </w:p>
    <w:p>
      <w:r>
        <w:t>Einspracheentscheid vom 27. Februar 2019</w:t>
      </w:r>
    </w:p>
    <w:p>
      <w:r>
        <w:t>Selbständige oder unselbständige Erwerbstätigkeit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