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AH.2019.1 vom 30. November 2018</w:t>
      </w:r>
    </w:p>
    <w:p>
      <w:r>
        <w:t>Bs Sozialversicherungsgericht, 2018-11-30, DE</w:t>
      </w:r>
    </w:p>
    <w:p>
      <w:r>
        <w:rPr>
          <w:b/>
        </w:rPr>
        <w:t xml:space="preserve">Quelle: </w:t>
      </w:r>
      <w:r>
        <w:t>https://mcp.opencaselaw.ch/entscheid/bs_sozialversicherungsgericht_AH.2019.1</w:t>
      </w:r>
    </w:p>
    <w:p>
      <w:r>
        <w:t>FR: BS_SOZIALVERSICHERUNGSGERICHT AH.2019.1 du 30 novembre 2018</w:t>
      </w:r>
    </w:p>
    <w:p>
      <w:r>
        <w:t>IT: BS_SOZIALVERSICHERUNGSGERICHT AH.2019.1 del 30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Oktober 2019</w:t>
      </w:r>
    </w:p>
    <w:p>
      <w:r>
        <w:t>Mitwirkende</w:t>
      </w:r>
    </w:p>
    <w:p>
      <w:r>
        <w:t>lic. iur. K. Zehnder (Vorsitz), lic. iur. M. Prack Hoenen, MLaw T. Conti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AH.2019.1</w:t>
      </w:r>
    </w:p>
    <w:p>
      <w:r>
        <w:t>Einspracheentscheid vom 30. November 2018</w:t>
      </w:r>
    </w:p>
    <w:p>
      <w:r>
        <w:t>Haftung nach Art. 52 AHVG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