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AH.2017.6 vom 20. April 2017</w:t>
      </w:r>
    </w:p>
    <w:p>
      <w:r>
        <w:t>Bs Sozialversicherungsgericht, 2017-04-20, DE</w:t>
      </w:r>
    </w:p>
    <w:p>
      <w:r>
        <w:rPr>
          <w:b/>
        </w:rPr>
        <w:t xml:space="preserve">Quelle: </w:t>
      </w:r>
      <w:r>
        <w:t>https://mcp.opencaselaw.ch/entscheid/bs_sozialversicherungsgericht_AH.2017.6</w:t>
      </w:r>
    </w:p>
    <w:p>
      <w:r>
        <w:t>FR: BS_SOZIALVERSICHERUNGSGERICHT AH.2017.6 du 20 avril 2017</w:t>
      </w:r>
    </w:p>
    <w:p>
      <w:r>
        <w:t>IT: BS_SOZIALVERSICHERUNGSGERICHT AH.2017.6 del 20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Oktober 2017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Gerichtsschreiberin lic. iur.A.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Ausgleichskasse Basel-Stadt Arbeitgeberkontrolle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AH.2017.6</w:t>
      </w:r>
    </w:p>
    <w:p>
      <w:r>
        <w:t>Einspracheentscheid vom 20. April 2017</w:t>
      </w:r>
    </w:p>
    <w:p>
      <w:r>
        <w:t>Verjährung einer Schadenersatzforderung gemäss Art. 52 AHVG verneint, Verrechnung mit AHV-Rente gemäss Art. 20 Abs. 2 AHVG ist zulässig.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