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ZK.2023.11 vom 20. März 2024</w:t>
      </w:r>
    </w:p>
    <w:p>
      <w:r>
        <w:t>BS Appellationsgericht, 2024-03-20, DE</w:t>
      </w:r>
    </w:p>
    <w:p>
      <w:r>
        <w:rPr>
          <w:b/>
        </w:rPr>
        <w:t xml:space="preserve">Quelle: </w:t>
      </w:r>
      <w:r>
        <w:t>https://mcp.opencaselaw.ch/entscheid/bs_appellationsgericht_ZK.2023.11</w:t>
      </w:r>
    </w:p>
    <w:p>
      <w:r>
        <w:t>FR: BS_APPELLATIONSGERICHT ZK.2023.11 du 20 mars 2024</w:t>
      </w:r>
    </w:p>
    <w:p>
      <w:r>
        <w:t>IT: BS_APPELLATIONSGERICHT ZK.2023.11 del 20 marzo 2024</w:t>
      </w:r>
    </w:p>
    <w:p>
      <w:pPr>
        <w:pStyle w:val="Heading2"/>
      </w:pPr>
      <w:r>
        <w:t>Erwägungen</w:t>
      </w:r>
    </w:p>
    <w:p>
      <w:r>
        <w:rPr>
          <w:b/>
        </w:rPr>
        <w:t>E. 3</w:t>
      </w:r>
    </w:p>
    <w:p>
      <w:r>
        <w:t>3.1Aufgrund dieser Erwägungen erweisen sich Voraussetzungen für den Erlass der von der Gesuchstellerin beantragten vorsorglichen Massnahem als erfüllt. Die am 24. November 2023 angeordnete superprovisorische Massnahme ist folglich zu bestätigen.</w:t>
      </w:r>
    </w:p>
    <w:p>
      <w:r>
        <w:t>Der Gesuchstellerin ist eine angemessene Frist zur Einreichung der Prosekutionsklage zu setzen mit der Androhung, dass die angeordneten Massnahmen bei ungenutztem Ablauf der Frist ohne Weiteres dahinfallen (vgl. Art. 263 ZPO;Huber, a.a.O., Art. 263 ZPO N 22 f.). Es ist von einer angemessenen Prosekutionsfrist von 60 Tagen auszugehen.</w:t>
      </w:r>
    </w:p>
    <w:p>
      <w:r>
        <w:t>3.2Über die endgültige Verteilung der Prozesskosten vorsorglicher Massnahmen kann grundsätzlich im Endentscheid in der Hauptsache oder mit der vorsorglichen Massnahme entschieden werden (vgl. Art. 104 Abs. 3 ZPO;Jenny, in: Sutter-Somm/Ha­senböhler/Leuenberger [Hrsg.], Kommentar zur Schweizerischen Zivilprozessordnung, a.a.O., Art. 104 N 9). Fallen die Prozesskosten im Zusammenhang mit vorsorglichen Massnahmen an, die  wie im vorliegenden Fall vorRechtshängigkeit der Hauptsache angeordnet werden, sind sie regelmässig im Entscheid über die vorsorglichen Massnahmen selbst zu verteilen (Sterchi, in: Berner Kommentar, Art. 104 ZPO N 11 und 12). Gemäss der Praxis des Appellationsgerichts (vgl. AGE ZK.2020.6 vom 9. Dezember 2020 E 8.2; ZB.2017.12 vom 23. Juni 2017 E. 2.4.4 mit weiteren Hinweisen; ebenso OGer GL OG.2019.00092 vom 20. Januar 2020 E. 2.2.2; HGer ZH HE160142 vom 1. September 2016 E. 6.1) werden die Gerichtskosten in einem solchen Fall unter Vorbehalt eines abweichenden Entscheids im Hauptverfahren (vorläufig) den Gesuchstellern auferlegt. Dementsprechend trägt die Gesuchstellerin die Gerichtskosten von CHF 3'000. (§ 11 Abs. 1 in Verbindung mit § 10 des Reglements über die Gerichtsgebühren [GGR, SG 154.810]). Zudem zahlen sie den Gesuchsgegnerinnen eine Parteientschädigung. Unter Annahme eines Streitwerts von CHF 100'000. (vgl. oben E. 1.2) und unter Berücksichtigung der Tatsache, dass sich die lediglich vierseitige Stellungnahme der Gesuchsgegnerinnen alleine auf den Punkt des Miteinbezugs der Gesuchstellerin 2 bezog und im Übrigen auf eine substantiierte Stellungnahme in der Sache verzichtet wurde, wird eine Parteientschädigung von insgesamt CHF 1'500. einschliesslich Auslagen und zuzüglich Mehrwertsteuer zugesprochen (§ 2 Abs. 1 in Verbindung mit § 3 Abs. 1, § 5 Abs. 1 und § 7 Abs. 1 des Honorarreglements [HO, SG 291.400]). Eine abweichende Kostenverteilung im allfälligen Hauptprozess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