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ZK.2023.10 vom 4. September 2023</w:t>
      </w:r>
    </w:p>
    <w:p>
      <w:r>
        <w:t>BS Appellationsgericht, 2023-09-04, DE</w:t>
      </w:r>
    </w:p>
    <w:p>
      <w:r>
        <w:rPr>
          <w:b/>
        </w:rPr>
        <w:t xml:space="preserve">Quelle: </w:t>
      </w:r>
      <w:r>
        <w:t>https://mcp.opencaselaw.ch/entscheid/bs_appellationsgericht_ZK.2023.10</w:t>
      </w:r>
    </w:p>
    <w:p>
      <w:r>
        <w:t>FR: BS_APPELLATIONSGERICHT ZK.2023.10 du 4 septembre 2023</w:t>
      </w:r>
    </w:p>
    <w:p>
      <w:r>
        <w:t>IT: BS_APPELLATIONSGERICHT ZK.2023.10 del 4 settembre 2023</w:t>
      </w:r>
    </w:p>
    <w:p>
      <w:pPr>
        <w:pStyle w:val="Heading2"/>
      </w:pPr>
      <w:r>
        <w:t>Erwägungen</w:t>
      </w:r>
    </w:p>
    <w:p>
      <w:r>
        <w:rPr>
          <w:b/>
        </w:rPr>
        <w:t>E. 3</w:t>
      </w:r>
    </w:p>
    <w:p>
      <w:r>
        <w:t>3.1Auf Antrag der obsiegenden Partei ordnet das Gericht Vollstreckungsmassnahmen an (Art. 236 Abs. 3 ZPO). Lautet der Entscheid wie vorliegend auf eine Verpflichtung zu einem Tun, Unterlassen oder Dulden kommen als Vollstreckungsmassnahmen die Strafandrohung nach Art. 292 des Schweizerischen Strafgesetzbuchs (StGB, SR 311.0), die Ordnungsbusse bis CHF 5'000. und die Tagesbusse bis zu CHF 1'000. für jeden Tag der Nichterfüllung (als Variante der Ordnungsbusse) in Frage (Art. 343 Abs. 1 ZPO). Über die Anordnung der Vollstreckungsmassnahmen entscheidet das Gericht nach seinem eigenen Ermessen, wobei es den Grundsatz der Verhältnismässigkeit zu beachten hat (Staehelin, in: Sutter-Somm/Hasen-böhler/Leuenberger [Hrsg.], Kommentar zur Schweizerischen Zivilprozessordnung, 3. Aufl., Zürich 2016, Art. 236 N 25 sowie Art. 343 N 11 und 14). Eine Kombination der verschiedenen Massnahmen ist denkbar (Staehelin, a.a.O., Art. 343 N 15;Jenny, in: Brunner/Gasser/Schwander [Hrsg.], Schweizerische Zivilprozessordnung, 2. Aufl., Zürich 2016, Art. 343 N 6; HGer ZH HG160205 vom 21. Januar 2019 E. 8.3, HG190019 vom 21. Juni 2019 E. 5; kritisch hierzuKellerhals, Berner Kommentar, 2012, Art. 343 ZPO N 10). Die Androhung kann bereits in das zu vollstreckende Urteil aufgenommen werden. Die Höhe der Busse kann, muss aber nicht beziffert werden (Staehelin, a.a.O., Art. 343 N 22).</w:t>
      </w:r>
    </w:p>
    <w:p>
      <w:r>
        <w:t>Vorliegend wurde ein forsches Vorgehen der Gesuchsgegnerin bei der unlauteren Bewerbung der Produkte mit demFEMKennzeichen und der eigenen Positionierung im entsprechenden Markt glaubhaft gemacht. Es ist daher die Anordnung einer an die Gesuchsgegnerin gerichtete Tagesbusse nach Art. 343 Abs. 1 lit. c ZPO (gemäss Gesetz bis zu CHF 1'000. für jeden Tag der Nichterfüllung) angebracht. Auf eine Bezifferung der allenfalls auszufällenden Tagesbusse ist im jetzigen Zeitpunkt zu verzichten. Weiter ist die Androhung der Tagesbusse mit einer an die Organe der Gesuchsgegnerin gerichteten Strafandrohung nach Art. 292 StGB zu verbinden. Unter Berücksichtigung des Verhältnismässigkeitsgrundsatzes erscheint eine zusätzliche Androhung einer Ordnungsbusse bis CHF 5'000. (Art. 343 Abs. 1 lit. b ZPO) hingegen nicht als angezeigt, weshalb hierauf entgegen dem Antrag der Gesuchstellerin verzichtet wird.</w:t>
      </w:r>
    </w:p>
    <w:p>
      <w:r>
        <w:t>Der Gesuchstellerin ist eine angemessene Frist zur Einreichung der Prosekutionsklage zu setzen mit der Androhung, dass die angeordneten Massnahmen bei ungenutztem Ablauf der Frist ohne Weiteres dahinfallen (vgl. Art. 263 ZPO;Huber, a.a.O., Art. 263 ZPO N 22 f.). Es ist von einer angemessenen Prosekutionsfrist von 60 Tagen auszugehen.</w:t>
      </w:r>
    </w:p>
    <w:p>
      <w:r>
        <w:t>3.2Über die endgültige Verteilung der Prozesskosten vorsorglicher Massnahmen kann grundsätzlich im Endentscheid in der Hauptsache oder mit der vorsorglichen Massnahme entschieden werden (vgl. Art. 104 Abs. 3 ZPO;Jenny, in: Sutter-Somm/Ha­senböhler/Leuenberger [Hrsg.], Kommentar zur Schweizerischen Zivilprozessordnung, 3. Auflage, Zürich 2016, Art. 104 N 9). Fallen die Prozesskosten im Zusammenhang mit vorsorglichen Massnahmen an, die  wie im vorliegenden Fall vorRechtshängigkeit der Hauptsache angeordnet werden, sind sie regelmässig im Entscheid über die vorsorglichen Massnahmen selbst zu verteilen (Sterchi, in: Berner Kommentar, Art. 104 ZPO N 11 und 12). Gemäss der Praxis des Appellationsgerichts (vgl. AGE ZK.2020.6 vom 9. Dezember 2020 E 8.2, ZB.2017.12 vom 23. Juni 2017 E. 2.4.4 mit weiteren Hinweisen; ebenso OGer GL OG.2019.00092 vom 20. Januar 2020 E. 2.2.2; HGer ZH HE160142 vom 1. September 2016 E. 6.1) werden die Gerichtskosten einem solchen Fall unter Vorbehalt eines abweichenden Entscheids im Hauptverfahren vorläufig den Gesuchstellern auferlegt. Dementsprechend trägt die Gesuchsteller die Gerichtskosten von CHF 4'000. (§ 11 Abs. 1 in Verbindung mit § 10 des Reglements über die Gerichtsgebühren [GGR, SG 154.810]). Eine abweichende Kostenverteilung im allfälligen Hauptprozess bleibt vorbehalten.</w:t>
      </w:r>
    </w:p>
    <w:p>
      <w:r>
        <w:t>://:        Der Gesuchsgegnerin wird unter Androhung der Bestrafung ihrer Organe mit Busse wegen Verstoss gegen Art. 292 StGB im Fall der Zuwiderhandlung sowie zusätzlich unter Androhung einer Ordnungsbusse von bis zu CHF 1'000. für jeden Tag der Zuwiderhandlung vorsorglich verboten, das Kennzeichen</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