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ZK.2022.11 vom 16. Dezember 2022</w:t>
      </w:r>
    </w:p>
    <w:p>
      <w:r>
        <w:t>BS Appellationsgericht, 2022-12-16, DE</w:t>
      </w:r>
    </w:p>
    <w:p>
      <w:r>
        <w:rPr>
          <w:b/>
        </w:rPr>
        <w:t xml:space="preserve">Quelle: </w:t>
      </w:r>
      <w:r>
        <w:t>https://mcp.opencaselaw.ch/entscheid/bs_appellationsgericht_ZK.2022.11</w:t>
      </w:r>
    </w:p>
    <w:p>
      <w:r>
        <w:t>FR: BS_APPELLATIONSGERICHT ZK.2022.11 du 16 décembre 2022</w:t>
      </w:r>
    </w:p>
    <w:p>
      <w:r>
        <w:t>IT: BS_APPELLATIONSGERICHT ZK.2022.11 del 16 dicembre 2022</w:t>
      </w:r>
    </w:p>
    <w:p>
      <w:pPr>
        <w:pStyle w:val="Heading2"/>
      </w:pPr>
      <w:r>
        <w:t>Erwägungen</w:t>
      </w:r>
    </w:p>
    <w:p>
      <w:r>
        <w:rPr>
          <w:b/>
        </w:rPr>
        <w:t>E. 1</w:t>
      </w:r>
    </w:p>
    <w:p>
      <w:r>
        <w:t>Die Klägerin ist eine konzessionierte Verwertungsgesellschaft im Sinn von Art. 40 ff. des Bundesgesetzes vom 9. Oktober 1992 über das Urheberrecht und verwandte Schutzrechte (URG, SR 231.1) und besitzt die Bewilligung des Eidgenössischen Instituts für Geistiges Eigentum (IGE) zur Geltendmachung der gesetzlichen Vergütungsansprüche. Sie macht einen Anspruch auf Vergütung für urheberrechtliche Nutzungen geltend (vgl. Art. 19 f. URG). Für Streitigkeiten im Zusammenhang mit geistigem Eigentum ist eine einzige kantonale Instanz zuständig (vgl. Art. 5 Abs. 1 lit. a der Schweizerischen Zivilprozessordnung [ZPO, SR 272]). Da die Beklagte Sitz in Basel hat (vgl. Klagebeilage 3), sind die Gerichte des Kantons Basel-Stadt für die Beurteilung der vorliegenden Klage örtlich zuständig (Art. 10 Abs. 1 lit. b ZPO). Sachlich zuständig ist das Einzelgericht des Appellationsgerichts (§ 93 Abs. 2 in Verbindung mit § 71 Abs. 1 Ziff. 1 lit. a des Gesetzes betreffend die Organisation der Gerichte und der Staatsanwaltschaft [GOG, SG 154.100]).</w:t>
      </w:r>
    </w:p>
    <w:p>
      <w:r>
        <w:rPr>
          <w:b/>
        </w:rPr>
        <w:t>E. 2</w:t>
      </w:r>
    </w:p>
    <w:p>
      <w:r>
        <w:t>Mit Verfügungen vom 4. Juni 2013 und 27. September 2017 (Klagebeilage 2) hat das IGE der Klägerin unter anderem die Bewilligung erneuert, die Vergütungsansprüche wahrzunehmen für das Fotokopieren von Werken sowie deren Speicherung in internen Netzwerken für die schulische Nutzung sowie für die interne Information oder Dokumentation in Betrieben, öffentlichen Verwaltungen, Instituten, Kommissionen und ähnlichen Einrichtungen und für das Vervielfältigen von Werken zum Eigengebrauch (Art. 20 URG). Die Klägerin stützt ihre Forderung auf die Gemeinsamen Tarife 8 und 9 (Tarifperiode vom 1. Januar 2017 bis zum 31. Dezember 2021, verlängert bis 31. Dezember 2022, nachfolgend GT 8 2017-2021 sowie GT 9 2017-2021), welche von der Eidgenössischen Schiedskommission für die Verwertung von Urheberrechten und verwandten Schutzrechten genehmigt worden sind. Rechtskräftig genehmigte Tarife sind für die Gerichte verbindlich (Art. 59 Abs. 3 URG; vgl. dazu BGer 4A_203/2015 vom 30. Juni 2015 E. 3.3).</w:t>
      </w:r>
    </w:p>
    <w:p>
      <w:r>
        <w:rPr>
          <w:b/>
        </w:rPr>
        <w:t>E. 3</w:t>
      </w:r>
    </w:p>
    <w:p>
      <w:r>
        <w:t>Die Klägerin hat die Fotokopier-Vergütung sowie die betriebsinterne Netzwerkvergütung gegenüber der Beklagten aufgrund des fehlenden Eingangs des Erhebungsformulars gestützt auf Ziff. 6 ff., insbesondere Ziff. 8.3 GT 8 2017-2021 sowie Ziff. 8.3 GT 9 2017-2021 eingeschätzt. Dabei ordnete die Klägerin die Beklagte der Branche Übrige Dienstleistungsunternehmen zu und schätzte die Zahl der Angestellten auf 1 bis 9. Diese Schätzung gilt als anerkannt, wenn der betroffene Nutzer die Schätzung nicht innert 30 Tagen seit Zustellung beanstandet und die für die Berechnung notwendigen Angaben schriftlich bekannt gibt (Ziff. 8.3 GT 8 2017-2021 sowie Ziff. 8.3 GT 9 2017-2021).</w:t>
      </w:r>
    </w:p>
    <w:p>
      <w:r>
        <w:t>Die Klägerin führt aus, dass die Beklagte diese Einschätzung nicht beanstandet habe, weshalb sie als anerkannt gelte. Die Klägerin stellte der Beklagten für das Jahr 2021 eine Fotokopier-Vergütung von CHF 128.65 (vgl. Ziff. 6.4.27 sowie Ziff. 8.3 GT 8 2017-2021) sowie eine betriebsinterne Netzwerk-Vergütung von CHF 124.05 (vgl. Ziff. 6.4.27 sowie Ziff. 8.3 GT 9 2017-2021) und für das Jahr 2022 eine Fotokopier-Vergütung von CHF 26.15 (vgl. Ziff. 6.4.27 GT 8 2017-2021) sowie eine betriebsinterne Netzwerk-Vergütung von CHF 21.55 (vgl. Ziff. 6.4.27 GT 9 2017-2021), insgesamt CHF 300.40, in Rechnung. Nachdem die Beklagte den offenen Betrag der genannten Rechnungen trotz mehrfacher Aufforderung nicht beglichen habe, habe die Klägerin die Beklagte nochmals gemahnt, worauf diese wiederum nicht reagiert habe. Mit Mahnschreiben vom 10. August 2022 (Klagebeilage 6) habe die Klägerin die Beklagte noch einmal schriftlich aufgefordert, den ausstehenden Betrag innert 10 Tagen zu bezahlen. Danach habe die Klägerin nochmals telefonisch Kontakt aufgenommen, was jedoch wiederum nicht gefruchtet habe (Klage Rz. 8 f.).</w:t>
      </w:r>
    </w:p>
    <w:p>
      <w:r>
        <w:t>Weil sich die Beklagte auch innert der Nachfrist nicht zur Klage geäussert hat, kann das Gericht die Tatsachenbehauptungen der Klägerin als unbestritten betrachten und seinem Entscheid zugrunde legen. Eine Beweiserhebung von Amtes wegen erfolgt nur, wenn an der Richtigkeit einer unbestritten gebliebenen Tatsache erhebliche Zweifel bestehen (Art. 153 Abs. 2 ZPO). Dies ist vorliegend nicht der Fall, da die Klägerin ihre Behauptungen substantiiert und schlüssig darlegt. Somit ist festzustellen, dass das unbestritten gebliebene Vorgehen der Klägerin im Einklang mit Ziff. 8.3 GT 8 2017-2021 sowie Ziff. 8.3 GT 9 2017-2021 steht. Damit ist der von der Klägerin geltend gemachte Vergütungsanspruch erstellt.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