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ZK.2017.4 vom 13. Oktober 2017</w:t>
      </w:r>
    </w:p>
    <w:p>
      <w:r>
        <w:t>BS Appellationsgericht, 2017-10-13, DE</w:t>
      </w:r>
    </w:p>
    <w:p>
      <w:r>
        <w:rPr>
          <w:b/>
        </w:rPr>
        <w:t xml:space="preserve">Quelle: </w:t>
      </w:r>
      <w:r>
        <w:t>https://mcp.opencaselaw.ch/entscheid/bs_appellationsgericht_ZK.2017.4</w:t>
      </w:r>
    </w:p>
    <w:p>
      <w:r>
        <w:t>FR: BS_APPELLATIONSGERICHT ZK.2017.4 du 13 octobre 2017</w:t>
      </w:r>
    </w:p>
    <w:p>
      <w:r>
        <w:t>IT: BS_APPELLATIONSGERICHT ZK.2017.4 del 13 ottobre 2017</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Die Klägerin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sind die Gerichte des Kantons Basel-Stadt für die Beurteilung der vorliegenden Klage örtlich zuständig (Art. 10 Abs. 1 lit. b ZPO). Sachlich zuständig ist das Einzelgericht des Appellationsgerichts (§ 92 Abs. 2 in Verbindung mit § 71 Abs. 1 Ziffer 1 lit. a des Gesetzes betreffend die Organisation der Gerichte und der Staatsanwaltschaft [GOG, SG 154.100]).</w:t>
      </w:r>
    </w:p>
    <w:p>
      <w:r>
        <w:rPr>
          <w:b/>
        </w:rPr>
        <w:t>E. 2</w:t>
      </w:r>
    </w:p>
    <w:p>
      <w:r>
        <w:t>Mit Verfügung vom 4. Juni 2013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(Art. 20 URG) und für das Vervielfältigen von Werken zum Eigengebrauch (Art. 20 URG). Die Klägerin stützt ihre Forderung auf die Gemeinsamen Tarife 8 und 9 (Tarifperiode vom 1. Januar 2012 bis zum 31. Dezember 2016, nachfolgend GT 8 IV bzw. GT 9 IV),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Ziffer 8.3 GT 8 VI sowie Ziffer 8.3 GT 9 VI eingeschätzt. Dabei ordnete die Klägerin die Beklagte der Branche Übrige Dienstleistungsunternehmen zu und schätzte die Zahl der Angestellten auf 10 bis 19. Diese Schätzung gilt als anerkannt, wenn der betroffene Nutzer die Schätzung nicht innert 30 Tagen seit Zustellung beanstandet und die für die Berechnung notwendigen Angaben schriftlich bekannt gibt (Ziffer 8.3 GT 8 VI und Ziffer 8.3 GT 9 VI).</w:t>
      </w:r>
    </w:p>
    <w:p>
      <w:r>
        <w:t>Die Klägerin führt aus, dass die Beklagte diese Einschätzung nicht beanstandet habe, weshalb sie als anerkannt gelte. Die Klägerin stellte der Beklagten für die Jahre 2012 bis 2015 eine Kopier-Vergütung von je CHF 61.50 (vgl. Ziffer 6.3.26 GT 8 IV) sowie eine betriebsinterne Netzwerk-Vergütung von CHF 27.70 für das Jahr 2012 sowie je CHF 30.75 für die Jahre 2013 bis 2015 (vgl. Ziffer 6.3.26 GT 9 IV), insgesamt CHF 365.95, in Rechnung. Nachdem die Beklagte den offenen Betrag der Rechnungen aus den Jahren 2012 bis 2014 trotz mehrfacher Aufforderung nicht beglichen habe, habe die Klägerin die Beklagte nochmals gemahnt, worauf diese wiederum nicht reagiert habe. Mit Mahnschreiben vom 18. Juni 2015 habe die Klägerin die Beklagte noch einmal schriftlich aufgefordert, den ausstehenden Betrag innert 20 Tagen zu bezahlen. Danach habe die Klägerin nochmals telefonisch Kontakt aufgenommen, was jedoch wiederum nicht gefruchtet habe. Desgleichen habe die Beklagte die verfügte Rechnung für das Jahr 2015 trotz Mahnung und Zahlungsaufforderung vom 11. November 2015 nicht beglichen (Klage Rz. 8 ff.).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Zwar erwähnt die Klägerin in der Klage ein Mahnschreiben vom 18. Juni 2015 (Klage Rz. 9), doch ergibt sich aus den Beilagen, dass das Mahnschreiben vom 28. Mai 2015 datiert und dass darin eine letzte Zahlungsfrist bis zum 17. Juni 2015 gewährt wurde (Klagebeilage 6). Die Beklagte fiel damit am 18. Juni 2015 in Verzug. Dieses Versehen vermag an der Schlüssigkeit der Ausführungen der Klägerin nichts zu ändern. Vielmehr ist festzustellen, dass das unbestritten gebliebene Vorgehen der Klägerin im Einklang mit Ziffer 8.3 GT 8 IV und Ziffer 8.3 GT 9 IV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