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ZK.2012.13 vom 27. April 2015</w:t>
      </w:r>
    </w:p>
    <w:p>
      <w:r>
        <w:t>BS Appellationsgericht, 2015-04-27, DE</w:t>
      </w:r>
    </w:p>
    <w:p>
      <w:r>
        <w:rPr>
          <w:b/>
        </w:rPr>
        <w:t xml:space="preserve">Quelle: </w:t>
      </w:r>
      <w:r>
        <w:t>https://mcp.opencaselaw.ch/entscheid/bs_appellationsgericht_ZK.2012.13</w:t>
      </w:r>
    </w:p>
    <w:p>
      <w:r>
        <w:t>FR: BS_APPELLATIONSGERICHT ZK.2012.13 du 27 avril 2015</w:t>
      </w:r>
    </w:p>
    <w:p>
      <w:r>
        <w:t>IT: BS_APPELLATIONSGERICHT ZK.2012.13 del 27 aprile 2015</w:t>
      </w:r>
    </w:p>
    <w:p>
      <w:pPr>
        <w:pStyle w:val="Heading2"/>
      </w:pPr>
      <w:r>
        <w:t>Erwägungen</w:t>
      </w:r>
    </w:p>
    <w:p>
      <w:r>
        <w:rPr>
          <w:b/>
        </w:rPr>
        <w:t>E. 1</w:t>
      </w:r>
    </w:p>
    <w:p>
      <w:r>
        <w:t>Gemäss Art. 5 Abs. 1 lit. d der Schweizerischen Zivilprozessordnung (ZPO; SR 272) ist für Klagen betreffend Streitigkeiten nach dem Bundesgesetz über den unlauteren Wettbewerb (UWG; SR 241), sofern der Streitwert mehr als CHF 30000.− beträgt, was vorliegend der Fall ist, eine einzige kantonale Instanz zuständig. Gemäss § 11 Abs. 1 und 2 Ziff. 1 des baselstädtischen Gesetzes über die Einführung der Schweizerischen Zivilprozessordnung (EG ZPO; SG 221.100) ist für deren Behandlung die besondere zivilrechtliche Abteilung des Appellationsgerichts zuständig (§ 63 Abs. 3bisdes Gerichtsorganisationsgesetzes [GOG; SG 154.100]) und für die Abschreibung des Verfahrens nach Art. 241 ZPO das mit der Verfahrensleitung betraute Gerichtsmitglied (§ 6 EG ZPO).</w:t>
      </w:r>
    </w:p>
    <w:p>
      <w:r>
        <w:rPr>
          <w:b/>
        </w:rPr>
        <w:t>E. 2</w:t>
      </w:r>
    </w:p>
    <w:p>
      <w:r>
        <w:t>ZPO hat ein Klagerückzug die Wirkung eines rechtskräftigen Entscheids. Das Gericht schreibt das Verfahren ab (Art. 241 Abs. 3 ZPO).</w:t>
      </w:r>
    </w:p>
    <w:p>
      <w:r>
        <w:t>Im Abschreibungsentscheid wird auch der Kostenentscheid gefällt (vgl. § 6 Abs. 2 EG ZPO). Nach Art. 106 Abs. 1 ZPO werden die Prozesskosten an sich der unterliegenden Partei auferlegt, wobei bei einem Klagerückzug die Klägerin als unterliegend gilt. Hiervon kann abgewichen werden, wenn besondere Umstände vorliegen, die eine Verteilung nach dem Ausgang des Verfahrens als unbillig erscheinen lassen (Art. 107 Abs. 1 lit. f ZPO). Vorliegend haben die Parteien in einem aussergerichtlichen Vergleich vereinbart, die Gerichtskosten je hälftig zu tragen und auf Parteientschädigungen zu verzichten. Es erscheint daher angemessen, die Kosten im Ergebnis gleich wie beim gerichtlichen Vergleich (Art. 109 ZPO) gemäss der Vereinbarung der Parteien zu verlegen.</w:t>
      </w:r>
    </w:p>
    <w:p>
      <w:r>
        <w:t>Die Gerichtskosten berechnen sich aufgrund der Bestimmungen der Verordnung über die Gerichtsgebühren (GebV; SG 154.810). Unter Berücksichtigung des Streitwerts von CHF 5 Mio. (Klage Rz. 7), des bis zum Zeitpunkt des Klagerückzugs entstandenen Aufwands des Gerichts sowie der Erledigung des Verfahrens ohne Entscheid werden die Gerichtskosten mit CHF 20000.− festgesetzt (vgl. § 2 Abs. 3, § 6 Abs. 1 und § 11 Abs. 1 Ziff. 3 GebV) und mit dem von der Klägerin geleisteten Vorschuss von CHF 50000.− verrechnet. Der Klägerin werden demnach CHF 30000.aus der Gerichtskasse zurückerstattet und die Beklagten werden in solidarischer Verbindung verpflichtet, der Klägerin CHF 10000. zu ersetzen.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