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ZB.2023.40 vom 29. September 2023</w:t>
      </w:r>
    </w:p>
    <w:p>
      <w:r>
        <w:t>BS Appellationsgericht, 2023-09-29, DE</w:t>
      </w:r>
    </w:p>
    <w:p>
      <w:r>
        <w:rPr>
          <w:b/>
        </w:rPr>
        <w:t xml:space="preserve">Quelle: </w:t>
      </w:r>
      <w:r>
        <w:t>https://mcp.opencaselaw.ch/entscheid/bs_appellationsgericht_ZB.2023.40</w:t>
      </w:r>
    </w:p>
    <w:p>
      <w:r>
        <w:t>FR: BS_APPELLATIONSGERICHT ZB.2023.40 du 29 septembre 2023</w:t>
      </w:r>
    </w:p>
    <w:p>
      <w:r>
        <w:t>IT: BS_APPELLATIONSGERICHT ZB.2023.40 del 29 settembre 2023</w:t>
      </w:r>
    </w:p>
    <w:p>
      <w:pPr>
        <w:pStyle w:val="Heading2"/>
      </w:pPr>
      <w:r>
        <w:t>Volltext</w:t>
      </w:r>
    </w:p>
    <w:p>
      <w:r>
        <w:t>Appellationsgericht</w:t>
      </w:r>
    </w:p>
    <w:p>
      <w:r>
        <w:t>des Kantons Basel-Stadt</w:t>
      </w:r>
    </w:p>
    <w:p>
      <w:r>
        <w:t>Dreiergericht</w:t>
      </w:r>
    </w:p>
    <w:p>
      <w:r>
        <w:t>ZB.2023.40</w:t>
      </w:r>
    </w:p>
    <w:p>
      <w:r>
        <w:t>ENTSCHEID</w:t>
      </w:r>
    </w:p>
    <w:p>
      <w:r>
        <w:t>vom 29. September 2023</w:t>
      </w:r>
    </w:p>
    <w:p>
      <w:r>
        <w:t>Mitwirkende</w:t>
      </w:r>
    </w:p>
    <w:p>
      <w:r>
        <w:t>Dr. Stephan Wullschleger, lic. iur. André Equey,</w:t>
      </w:r>
    </w:p>
    <w:p>
      <w:r>
        <w:t>Prof. Dr. Cordula Lötscher</w:t>
      </w:r>
    </w:p>
    <w:p>
      <w:r>
        <w:t>und Gerichtsschreiber MLaw Martin Manyoki</w:t>
      </w:r>
    </w:p>
    <w:p>
      <w:r>
        <w:t>Parteien</w:t>
      </w:r>
    </w:p>
    <w:p>
      <w:r>
        <w:t>A____Berufungskläger</w:t>
      </w:r>
    </w:p>
    <w:p>
      <w:r>
        <w:t>[...] Ehemann</w:t>
      </w:r>
    </w:p>
    <w:p>
      <w:r>
        <w:t>vertreten durch [...], Rechtsanwalt,</w:t>
      </w:r>
    </w:p>
    <w:p>
      <w:r>
        <w:t>[...]</w:t>
      </w:r>
    </w:p>
    <w:p>
      <w:r>
        <w:t>gegen</w:t>
      </w:r>
    </w:p>
    <w:p>
      <w:r>
        <w:t>B____Berufungsbeklagte</w:t>
      </w:r>
    </w:p>
    <w:p>
      <w:r>
        <w:t>[...] Ehefrau</w:t>
      </w:r>
    </w:p>
    <w:p>
      <w:r>
        <w:t>vertreten durch [...], Advokatin,</w:t>
      </w:r>
    </w:p>
    <w:p>
      <w:r>
        <w:t>[...]</w:t>
      </w:r>
    </w:p>
    <w:p>
      <w:r>
        <w:t>Gegenstand</w:t>
      </w:r>
    </w:p>
    <w:p>
      <w:r>
        <w:t>Berufunggegen einen Entscheid des Zivilgerichts</w:t>
      </w:r>
    </w:p>
    <w:p>
      <w:r>
        <w:t>vom 22. Juni 2023</w:t>
      </w:r>
    </w:p>
    <w:p>
      <w:r>
        <w:t>betreffend Getrenntleben</w:t>
      </w:r>
    </w:p>
    <w:p>
      <w:r>
        <w:t>Sachverhalt</w:t>
      </w:r>
    </w:p>
    <w:p>
      <w:r>
        <w:t>Im Geltungsbereich der uneingeschränkten Untersuchungsmaxime können die Parteien im Berufungsverfahren neue Tatsachen und Beweismittel auch dann vorbringen, wenn die Voraussetzungen von Art. 317 Abs. 1 ZPO nicht erfüllt sind (BGE 144 III 349 E. 4.2.1 S. 351).</w:t>
      </w:r>
    </w:p>
    <w:p>
      <w:r>
        <w:t>Im Geltungsbereich der Offizialmaxime entscheidet das Gericht ohne Bindung an die Parteianträge (Art. 296 Abs. 3 ZPO). Dies bedeutet insbesondere, dass es Entscheide auch ohne entsprechende Anträge treffen kann. Zudem gilt das Verschlechterungsverbot (Verbot der reformatio in peius) nicht (AGE ZB.2020.24 vom 1. Oktober 2020 E. 2.1).</w:t>
      </w:r>
    </w:p>
    <w:p>
      <w:r>
        <w:t>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