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ZB.2023.31 vom 5. Februar 2024</w:t>
      </w:r>
    </w:p>
    <w:p>
      <w:r>
        <w:t>BS Appellationsgericht, 2024-02-05, DE</w:t>
      </w:r>
    </w:p>
    <w:p>
      <w:r>
        <w:rPr>
          <w:b/>
        </w:rPr>
        <w:t xml:space="preserve">Quelle: </w:t>
      </w:r>
      <w:r>
        <w:t>https://mcp.opencaselaw.ch/entscheid/bs_appellationsgericht_ZB.2023.31</w:t>
      </w:r>
    </w:p>
    <w:p>
      <w:r>
        <w:t>FR: BS_APPELLATIONSGERICHT ZB.2023.31 du 5 février 2024</w:t>
      </w:r>
    </w:p>
    <w:p>
      <w:r>
        <w:t>IT: BS_APPELLATIONSGERICHT ZB.2023.31 del 5 febbraio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angebotenen Wohnungen nicht tauglich gewesen seien (Berufung, Ziffer 33). Auch dieser Einwand ist nicht stichhaltig, da das Zivilgericht dies nicht verkannt hat: Es hielt zum einen fest, dass die Vermieterin «Bereitschaft» bekundet habe, «Referenzschreiben zu Handen der Mieterschaft auszustellen» (Zivilgerichtsentscheid, E. 6.2.5); es nahm nicht an, dass die Vermieterin solche Schreiben auch tatsächlich ausstellte. Zum anderen stellte das Zivilgericht  wie die Mieterin auch  fest, dass die Anzahl der angebotenen Ersatzobjekte tief gewesen sei und diese teilweise von vornherein ausser Betracht gefallen seien (E. 6.2.5). Mit anderen Worten: Das Zivilgericht hat das Unterstützungsangebot der Vermieterin korrekt eingeschätzt und gewürdigt.</w:t>
      </w:r>
    </w:p>
    <w:p>
      <w:r>
        <w:t>Zusammenfassend ist festzuhalten, dass die Einwände der Mieterin nicht geeignet sind, die Angemessenheit der gewährten einmaligen Erstreckung von 7 Monaten in Frage zu stellen. Das Zivilgericht eruierte und würdigte die Umstände, die für die Art und Dauer der Erstreckung massgebend sind, sorgfältig und zutreffend  namentlich auch die lange Kündigungsfrist von 19 Monaten. Auf die entsprechenden Erwägungen kann vollumfänglich verwiesen werden (Zivilgerichtsentscheid, E. 6.2). Es besteht jedenfalls kein Anlass, in den weiten zivilgerichtlichen Ermessensspielraum einzugreifen.</w:t>
      </w:r>
    </w:p>
    <w:p>
      <w:r>
        <w:t>5.         Berufungsentscheid</w:t>
      </w:r>
    </w:p>
    <w:p>
      <w:r>
        <w:t>Bei diesem Ausgang des Verfahrens trägt die Mieterin die Prozesskosten des Berufungsverfahrens (Art. 106 Abs. 1 ZPO). In Verfahren vor Zivilgericht und Appellationsgericht, die ihren Ursprung bei der Schlichtungsstelle haben, betragen die Gerichtskosten zwischen CHF 200. und CHF 500. bei einer Nettomonatsmiete bis CHF 2'500. bei Wohnungsmiete (§ 2a Abs. 2 des Gesetzes über die Gerichtsgebühren [Gerichtsgebührengesetz, SG 154.800]). Im vorliegenden Fall liegt der Nettomietzins für die Wohnung unter CHF 2'500. (Zivilgerichtsentscheid, E. 7.2). Die zweitinstanzlichen Gerichtskosten betragen somit wie im erstinstanzlichen Verfahren CHF 500.. In Verfahren vor Zivilgericht und Appellationsgericht, die  wie das vorliegende Verfahren  ihren Ursprung bei der Schlichtungsstelle haben, werden keine Parteientschädigungen gesprochen (§ 2a Abs. 1 Gerichtsgebührengesetz).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