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ZB.2023.24 vom 2. Februar 2024</w:t>
      </w:r>
    </w:p>
    <w:p>
      <w:r>
        <w:t>BS Appellationsgericht, 2024-02-02, DE</w:t>
      </w:r>
    </w:p>
    <w:p>
      <w:r>
        <w:rPr>
          <w:b/>
        </w:rPr>
        <w:t xml:space="preserve">Quelle: </w:t>
      </w:r>
      <w:r>
        <w:t>https://mcp.opencaselaw.ch/entscheid/bs_appellationsgericht_ZB.2023.24</w:t>
      </w:r>
    </w:p>
    <w:p>
      <w:r>
        <w:t>FR: BS_APPELLATIONSGERICHT ZB.2023.24 du 2 février 2024</w:t>
      </w:r>
    </w:p>
    <w:p>
      <w:r>
        <w:t>IT: BS_APPELLATIONSGERICHT ZB.2023.24 del 2 febbraio 2024</w:t>
      </w:r>
    </w:p>
    <w:p>
      <w:pPr>
        <w:pStyle w:val="Heading2"/>
      </w:pPr>
      <w:r>
        <w:t>Volltext</w:t>
      </w:r>
    </w:p>
    <w:p>
      <w:r>
        <w:t>Appellationsgericht</w:t>
      </w:r>
    </w:p>
    <w:p>
      <w:r>
        <w:t>des Kantons Basel-Stadt</w:t>
      </w:r>
    </w:p>
    <w:p>
      <w:r>
        <w:t>Dreiergericht</w:t>
      </w:r>
    </w:p>
    <w:p>
      <w:r>
        <w:t>ZB.2023.24</w:t>
      </w:r>
    </w:p>
    <w:p>
      <w:r>
        <w:t>ENTSCHEID</w:t>
      </w:r>
    </w:p>
    <w:p>
      <w:r>
        <w:t>vom 2. Februar 2024</w:t>
      </w:r>
    </w:p>
    <w:p>
      <w:r>
        <w:t>Mitwirkende</w:t>
      </w:r>
    </w:p>
    <w:p>
      <w:r>
        <w:t>Dr. Olivier Steiner, lic. iur. André Equey, MLaw Manuel Kreis</w:t>
      </w:r>
    </w:p>
    <w:p>
      <w:r>
        <w:t>und Gerichtsschreiber MLaw Thomas Inoue</w:t>
      </w:r>
    </w:p>
    <w:p>
      <w:r>
        <w:t>Parteien</w:t>
      </w:r>
    </w:p>
    <w:p>
      <w:r>
        <w:t>A____Berufungskläger</w:t>
      </w:r>
    </w:p>
    <w:p>
      <w:r>
        <w:t>[...]                                                                                                    Kläger</w:t>
      </w:r>
    </w:p>
    <w:p>
      <w:r>
        <w:t>gegen</w:t>
      </w:r>
    </w:p>
    <w:p>
      <w:r>
        <w:t>B____Berufungsbeklagte</w:t>
      </w:r>
    </w:p>
    <w:p>
      <w:r>
        <w:t>[...] Beklagte</w:t>
      </w:r>
    </w:p>
    <w:p>
      <w:r>
        <w:t>vertreten durch [...], Rechtsanwalt,</w:t>
      </w:r>
    </w:p>
    <w:p>
      <w:r>
        <w:t>[...]</w:t>
      </w:r>
    </w:p>
    <w:p>
      <w:r>
        <w:t>Gegenstand</w:t>
      </w:r>
    </w:p>
    <w:p>
      <w:r>
        <w:t>Berufunggegen einen Entscheid des Zivilgerichts</w:t>
      </w:r>
    </w:p>
    <w:p>
      <w:r>
        <w:t>vom 9. März 2023</w:t>
      </w:r>
    </w:p>
    <w:p>
      <w:r>
        <w:t>betreffend Kündigung und Erstreckung des Mietverhältnisses</w:t>
      </w:r>
    </w:p>
    <w:p>
      <w:r>
        <w:t>Sachverhalt</w:t>
      </w:r>
    </w:p>
    <w:p>
      <w:r>
        <w:t>Mit Mietvertrag vom 28. Mai 2010 mietete A____ (Mieter) eine 3-Zimmerwohnung am [...] in Basel und mit Mietvertrag vom 20. November 2018 einen Autoeinstellplatz. Mit amtlichem Formular vom 13. August 2021 kündigte die B____ (Vermieterin) allen Mietern in der Liegenschaft [...] per Ende März 2023. Im Begleitschreiben begründete sie die Kündigung damit, dass die Liegenschaft mit Baujahr 1981 zwischenzeitlich stark in die Jahre gekommen sei und deshalb umfassende Sanierungen unter anderem der Sanitäranlagen, Küchen und Bäder, Böden, Elektroinstallationen sowie Brandschutzinstallationen unumgänglich seien; der Umfang der Sanierung lasse einen Verbleib der Mieter in der Liegenschaft nicht zu.</w:t>
      </w:r>
    </w:p>
    <w:p>
      <w:r>
        <w:t>Der Mieter focht diese Kündigung bei der Staatlichen Schlichtungsstelle für Mietstreitigkeiten (Schlichtungsstelle) an. Nachdem keine Einigung erzielt worden war, gelangte er mit Klage vom 20. Mai 2022 an das Zivilgericht Basel-Stadt und beantragte, es sei die Kündigung als missbräuchlich aufzuheben und eventualiter seien die Mietverhältnisse um vier Jahre zu erstrecken.  Am 14. Dezember 2022 führte das Zivilgericht eine mündliche Hauptverhandlung durch; neben der Vermieterin (und ihrem Vertreter), dem Mieter des vorliegenden Verfahrens waren auch die Mieter in den anderen acht Kündigungsverfahren (sowie deren Vertreterin) anwesend. Nach der Hauptverhandlung fanden Vergleichsgespräche statt, die allerdings scheiterten. Mit Entscheid vom 9. März 2023 wies das Zivilgericht die Klage des Mieters ab. Auf Gesuch des Mieters wurde dieser Entscheid schriftlich begründet.</w:t>
      </w:r>
    </w:p>
    <w:p>
      <w:r>
        <w:t>Gegen den schriftlich begründeten Entscheid erhob der Mieter am 17. Mai 2023 Berufung beim Appellationsgericht. Darin beantragt er die Aufhebung des angefochtenen Entscheids und der Kündigung der beiden Mietverhältnisse; eventualiter seien die Mietverhältnisse um vier Jahre zu erstrecken; subeventualiter sei der angefochtene Entscheid aufzuheben und die Sache zur Neubeurteilung an das Zivilgericht zurückzuweisen. Mit Berufungsantwort vom 24. August 2023 beantragt die Vermieterin die Abweisung der Berufung. Mit unaufgefordert eingereichter Replik vom 11. September 2023 hält der Mieter an seinen Anträgen fest. Mit Noveneingabe vom 16. Oktober 2023 teilte die Vermieterin mit, dass alle drei Baurekurse gegen das Sanierungsprojekt abgewiesen worden seien. Die Akten des Zivilgerichts wurden beigezogen. Der vorliegende Entscheid wurde auf dem Zirkulationsweg gefällt.</w:t>
      </w:r>
    </w:p>
    <w:p>
      <w:r>
        <w:t>Erwägungen</w:t>
      </w:r>
    </w:p>
    <w:p>
      <w:r>
        <w:t>1.Eintreten</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lit. e des Obligationenrechts (OR, SR 220) zu berücksichtigen, während welcher der Vermieter nicht kündigen darf (BGE 137 III 389 E. 1.1; BGE 144 III 346 E. 1.2.2). Nach der Praxis des Appellationsgerichts ist für die Streitwertberechnung nicht der Nettomietzins massgebend, sondern der Bruttomietzins (AGE ZB.2019.8 vom 6. Juni 2019 E. 1). Im vorliegenden Fall beträgt der monatliche Bruttomietzins CHF 1'420., so dass der Streitwert von CHF 10'000. ohne weiteres erreicht wird (Klagebeilage 3; 36 Monatsbruttomietzinse à CHF 1'420. = CHF 51'120.). Auf die im Übrigen frist- und formgerecht erhobene Berufung ist demnach einzutreten. Zuständig zur Beurteilung der vorliegenden Berufung ist das Dreiergericht des Appellationsgerichts (§ 92 Ziff. 6 des Gerichtsorganisationsgesetzes [GOG, SG 154.100]).</w:t>
      </w:r>
    </w:p>
    <w:p>
      <w:r>
        <w:t>2.Entscheid des Zivilgerichts</w:t>
      </w:r>
    </w:p>
    <w:p>
      <w:r>
        <w:t>3.Missbräuchlichkeit der Sanierungskündigung</w:t>
      </w:r>
    </w:p>
    <w:p>
      <w:r>
        <w:t>3.1      Vorliegen eines ausgereiften Sanierungsprojekts</w:t>
      </w:r>
    </w:p>
    <w:p>
      <w:r>
        <w:t>Eine Kündigung im Hinblick auf Sanierungsarbeiten, die eine Weiterbenutzung des Mietobjekts erheblich einschränken, ist nicht missbräuchlich. Werden die geplanten Arbeiten hingegen nicht oder nur unerheblich erschwert oder verzögert, wenn die Mieter im Mietobjekt verbleiben, besteht kein schützenswerter Grund für die Vermieterin, dennoch zu kündigen (BGE 135 III 112 E. 4.2). Missbräuchlich ist eine solche Kündigung auch, wenn das Projekt als nicht realitätsnah oder objektiv unmöglich erscheint, namentlich weil es offensichtlich mit den Vorschriften des öffentlichen Rechts unvereinbar ist, sodass die Vermieterin die notwendigen Bewilligungen mit Sicherheit nicht erhalten wird. Dass die Vermieterin bereits die nötigen Bewilligungen erhalten oder die hierzu erforderlichen Dokumente hinterlegt hat, ist für die Gültigkeit der Kündigung aber nicht vorausgesetzt. Ob der Verbleib der Mieter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Arbeiten eine Räumung des Mietobjekts erforderlich machen. Erfolgt eine Kündigung im Hinblick auf ein Projekt, das noch nicht so weit fortgeschritten ist, um diese Frage gestützt auf den Stand des Projekts im Kündigungszeitpunkt beurteilen zu können, ist sie missbräuchlich (vgl. zum Ganzen BGE 140 III 496 E. 4.1 und 4.2). Das Gericht muss aufgrund der nachgewiesenen Umstände überzeugt sein vom Vorhandensein des Projekts, von Willen und der Möglichkeit der Vermieterin, das Projekt zu realisieren und von der Notwendigkeit, dass die Mieter die Liegenschaft definitiv verlassen (BGer 4A_491/2018 vom 8. Mai 2019 E. 2.1.2).</w:t>
      </w:r>
    </w:p>
    <w:p>
      <w:r>
        <w:t>Das Bundesgericht hat sich mehrfach mit der Frage befasst, wann ein genügend ausgereiftes Projekt vorliegt, das eine Abschätzung der Erforderlichkeit einer Räumung erlaubt. Als genügend hat das Bundesgericht folgende Projektstände erachtet:</w:t>
      </w:r>
    </w:p>
    <w:p>
      <w:r>
        <w:t>-           Baubewilligung oder Baueingabe (BGE 140 III 496 E. 4.1; BGer 4A_518/2010 vom 16. Dezember 2010 E. 2.6);</w:t>
      </w:r>
    </w:p>
    <w:p>
      <w:r>
        <w:t>-           Sanierungsstudie, Investitionsantrag über CHF 2'500'000. und Vorprojekt (BGer 4A_396/2019 vom 16. Januar 2020 E. 3.2.1 und 3.3.2);</w:t>
      </w:r>
    </w:p>
    <w:p>
      <w:r>
        <w:t>-           Erteilung eines Auftrags (im Wert von CHF 120'000.) an ein Architekturbüro für Planungsarbeiten am Bauprojekt und zeitnahe Einleitung des Baubewilligungsverfahrens nach der Kündigung (BGer 4A_246/2023 vom 17. Juli 2023 E. 3.2 und 3.3);</w:t>
      </w:r>
    </w:p>
    <w:p>
      <w:r>
        <w:t>-           Erteilung eines Auftrags an zwei Architekturbüros zur Ausarbeitung eines Bauprojekts (BGer 4A_210/2014 vom 17. Juli 2014 Sachverhalt B und E. 3.3);</w:t>
      </w:r>
    </w:p>
    <w:p>
      <w:r>
        <w:t>-           «rapport dexpertise privé» eines Bauleiters und Immobilienberaters, der grossen Sanierungsbedarf feststellte (BGer 4A_518/2010 vom 16. Dezember 2010 E. 2.3 und 2.5);</w:t>
      </w:r>
    </w:p>
    <w:p>
      <w:r>
        <w:t>-           Besichtigung der Liegenschaft durch den Vermieter, Kontaktierung eines Architekturbüros, Beschaffung der ursprünglichen Baupläne und der seitherigen Umbaupläne, zweite Besichtigung der Liegenschaft durch den Vermieter in Begleitung seines Architekten, Ausarbeitung von 5-seitigen Plänen durch den Architekten und Kontaktierung der Behörden (BGer 4A_491/2018 vom 8. Mai 2019 Sachverhalt A.d und E. 3);</w:t>
      </w:r>
    </w:p>
    <w:p>
      <w:r>
        <w:t>-           bereits erfolgte Sanierung zahlreicher Wohnungen in der Liegenschaft und aufrichtige Absicht der Vermieterin, auch die strittige Wohnung zu sanieren (BGer 4A_247/2021 vom 4. Mai 2022 E. 4; vgl. auch BGer 4A_143/2021 vom 31. August 2021 E. 10.2).</w:t>
      </w:r>
    </w:p>
    <w:p>
      <w:r>
        <w:t>Offen gelassen hat das Bundesgericht, ob eine einfache Skizze der künftigen Arbeiten («simple ébauche des travaux futurs») eine Kündigung rechtfertigt (BGE 140 III 496 E. 4.2.2). Als ungenügend hat es aber folgende Projektstände erachtet:</w:t>
      </w:r>
    </w:p>
    <w:p>
      <w:r>
        <w:t>-           Hinweis der Vermieterin auf die Durchführung eines Architekturwettbewerbs (BGE 142 III 91 Sachverhalt A. und E. 3.2.2);</w:t>
      </w:r>
    </w:p>
    <w:p>
      <w:r>
        <w:t>-           Besichtigung der Liegenschaft durch den Liegenschaftsverwalter zur Abklärung des Sanierungsbedarfs (BGE 140 III 496 E. 4.2.2);</w:t>
      </w:r>
    </w:p>
    <w:p>
      <w:r>
        <w:t>-           feste Sanierungsabsicht («ferme intention de transformer et rénover les immeubles») (BGE 140 III 496 E. 4.2.2);</w:t>
      </w:r>
    </w:p>
    <w:p>
      <w:r>
        <w:t>-           nachträgliche Projekt- und Baupläne (BGE 142 III 91 E. 3.2.1).</w:t>
      </w:r>
    </w:p>
    <w:p>
      <w:r>
        <w:t>3.2Möglichkeit der Sanierung in bewohntem Zustand</w:t>
      </w:r>
    </w:p>
    <w:p>
      <w:r>
        <w:t>3.3      Mietverhältnis mit neuen Mietern</w:t>
      </w:r>
    </w:p>
    <w:p>
      <w:r>
        <w:t>4.         Erstreckung des Mietverhältnisses</w:t>
      </w:r>
    </w:p>
    <w:p>
      <w:r>
        <w:t>5.         Erstinstanzliche Gerichtskosten</w:t>
      </w:r>
    </w:p>
    <w:p>
      <w:r>
        <w:t>6.         Berufungsentscheid</w:t>
      </w:r>
    </w:p>
    <w:p>
      <w:r>
        <w:t>Bei diesem Ausgang des Verfahrens trägt der Mieter die Prozesskosten des Berufungsverfahrens (Art. 106 Abs. 1 ZPO). In Verfahren vor Zivilgericht und Appellationsgericht, die ihren Ursprung bei der Schlichtungsstelle haben, betragen die Gerichtskosten zwischen CHF 200. und CHF 500. bei einer Nettomonatsmiete bis CHF 2'500. bei Wohnungsmiete (§ 2a Abs. 2 Gerichtsgebührengesetz). Im vorliegenden Fall liegt der Nettomietzins für die Wohnung unter CHF 2'500. (Zivilgerichtsentscheid, E. 7.2). Auch im Berufungsverfahren ist die Gerichtsgebühr angesichts der Bedeutung des Falls, des Zeitaufwands für das Gericht, nicht zuletzt auch aufgrund der umfangreichen Rechtsschriften, und der Komplexität des Falls am obersten Rand festzusetzen. Die zweitinstanzlichen Gerichtskosten betragen somit wie im erstinstanzlichen Verfahren CHF 500.. In Verfahren vor Zivilgericht und Appellationsgericht, die  wie das vorliegende Verfahren  ihren Ursprung bei der Schlichtungsstelle haben, werden keine Parteientschädigungen gesprochen (§ 2a Abs. 1 Gerichtsgebührengesetz).</w:t>
      </w:r>
    </w:p>
    <w:p>
      <w:r>
        <w:t>Demgemäss erkennt das Appellationsgericht (Dreiergericht):</w:t>
      </w:r>
    </w:p>
    <w:p>
      <w:r>
        <w:t>://:        Die Berufung gegen den Entscheid des Zivilgerichts Basel-Stadt vom 9. März 2023 ([...]) wird abgewiesen.</w:t>
      </w:r>
    </w:p>
    <w:p>
      <w:r>
        <w:t>Der Berufungskläger trägt die Gerichtskosten von CHF 500..</w:t>
      </w:r>
    </w:p>
    <w:p>
      <w:r>
        <w:t>Mitteilung an:</w:t>
      </w:r>
    </w:p>
    <w:p>
      <w:r>
        <w:t>APPELLATIONSGERICHT BASEL-STADT</w:t>
      </w:r>
    </w:p>
    <w:p>
      <w:r>
        <w:t>Der Gerichtsschreiber</w:t>
      </w:r>
    </w:p>
    <w:p>
      <w:r>
        <w:t>MLaw Thomas Inoue</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