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ZB.2022.25 vom 17. August 2022</w:t>
      </w:r>
    </w:p>
    <w:p>
      <w:r>
        <w:t>BS Appellationsgericht, 2022-08-17, DE</w:t>
      </w:r>
    </w:p>
    <w:p>
      <w:r>
        <w:rPr>
          <w:b/>
        </w:rPr>
        <w:t xml:space="preserve">Quelle: </w:t>
      </w:r>
      <w:r>
        <w:t>https://mcp.opencaselaw.ch/entscheid/bs_appellationsgericht_ZB.2022.25</w:t>
      </w:r>
    </w:p>
    <w:p>
      <w:r>
        <w:t>FR: BS_APPELLATIONSGERICHT ZB.2022.25 du 17 août 2022</w:t>
      </w:r>
    </w:p>
    <w:p>
      <w:r>
        <w:t>IT: BS_APPELLATIONSGERICHT ZB.2022.25 del 17 agosto 2022</w:t>
      </w:r>
    </w:p>
    <w:p>
      <w:pPr>
        <w:pStyle w:val="Heading2"/>
      </w:pPr>
      <w:r>
        <w:t>Erwägungen</w:t>
      </w:r>
    </w:p>
    <w:p>
      <w:r>
        <w:rPr>
          <w:b/>
        </w:rPr>
        <w:t>E. 1</w:t>
      </w:r>
    </w:p>
    <w:p>
      <w:r>
        <w:t>Erstinstanzliche End- und Zwischenentscheide in vermögensrechtlichen Angelegenheiten unterliegen der Berufung, wenn der Streitwert der zuletzt aufrechterhaltenen Rechtsbegehren mindestens CHF 10'000. beträgt (Art. 308 der Schweizerischen Zivilprozessordnung [ZPO, SR 272]). Angefochten ist ein Entscheid des Zivilgerichts betreffend Ausweisung und somit ein erstinstanzlicher Endentscheid in vermögensrechtlichen Angelegenheiten. Da der Streitwert weniger als CHF 10'000. beträgt (Zivilgerichtsentscheid, E. 3.2), ist die vorliegende «Einsprache» als Beschwerde entgegenzunehmen.</w:t>
      </w:r>
    </w:p>
    <w:p>
      <w:r>
        <w:t>Die Beschwerde ist nach der Zustellung des begründeten Entscheids rechtzeitig erhoben worden (Art. 321 Abs. 2 in Verbindung mit Art. 257 ZPO). Auf die Beschwerde ist deshalb grundsätzlich einzutreten. Für deren Beurteilung ist das Dreiergericht des Appellationsgerichts zuständig (§ 92 Abs. 1 Ziff. 6 des Gerichtsorganisationsgesetzes [GOG, SG 154.100]).</w:t>
      </w:r>
    </w:p>
    <w:p>
      <w:r>
        <w:rPr>
          <w:b/>
        </w:rPr>
        <w:t>E. 2</w:t>
      </w:r>
    </w:p>
    <w:p>
      <w:r>
        <w:t>Das Zivilgericht legte im angefochtenen Entscheid die beiden Voraussetzungen des Rechtsschutzes in klaren Fällen dar, nämlich das Vorliegen eines unbestrittenen oder sofort beweisbaren Sachverhalts und eine klare Rechtslage. Sodann prüfte und bejahte es die Frage, ob im vorliegenden Fall der Sachverhalt und die Rechtslage klar sind (Zivilgerichtsentscheid, E. 2).</w:t>
      </w:r>
    </w:p>
    <w:p>
      <w:r>
        <w:t>Gemäss Art. 320 ZPO ist derBeschwerdeführergehalten darzutun, auf welchen Beschwerdegrund er sich beruft und an welchen Mängeln der angefochtene Entscheid leidet (Freiburghaus/Afheldt, in: Sutter-Somm/Hasenböhler/Leuenberger [Hrsg.], Kommentar zur ZPO, 3. Auflage 2016, Art. 321 N 15). Der Beschwerdeführer hat somit zu erklären, weshalb der erstinstanzliche Entscheid im angefochtenen Punkt unrichtig sein soll; es wird vorausgesetzt, dass er sich mit der Begründung des angefochtenen Entscheids auseinandersetzt (BGer 5D_65/2014 vom 9. September 2014 E. 5.4.1). Auch wenn bei einer rechtsunkundigen Person an diese Substantiierungs- und Begründungpflicht praxisgemäss keine allzu strengen Anforderungen gestellt werden, muss doch auch ein juristischer Laie zumindest sinngemäss sagen, weshalb er den angefochtenen Entscheid für fehlerhaft hält und inwieweit dieser geändert oder aufgehoben werden soll (AGE BEZ.2013.73 vom 24. Januar 2014 E. 2;Bachofner, Die Mieterausweisung, Dissertation Basel 2018, Zürich/St. Gallen 2019, Rz 672).</w:t>
      </w:r>
    </w:p>
    <w:p>
      <w:r>
        <w:t>Im vorliegenden Fall gibt der Bewohner an, dass er «Einsprache auf sämtliche Begehren» erhebe, da er «kein Dealer, Vergewaltiger, Junkie, Homosexueller, Räuber, Killer» sei. Sodann macht er folgende Angaben: Gemäss Vertrag gehört «das Zimmer [] Ihnen, das Geld wenn sie damit umgehen können. Ebenso 1900. für Ferien nach Bernbiet mir vorenthalten» (Beschwerde, S. 1 und 2). Weitere Ausführungen enthält die Beschwerde nicht. Damit begründet der Bewohner mit keinem Wort, inwiefern der Entscheid des Zivilgerichts falsch sein soll. Es fehlt somit an einer genügenden Begründung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