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ZB.2017.26 vom 3. Juli 2017</w:t>
      </w:r>
    </w:p>
    <w:p>
      <w:r>
        <w:t>BS Appellationsgericht, 2017-07-03, DE</w:t>
      </w:r>
    </w:p>
    <w:p>
      <w:r>
        <w:rPr>
          <w:b/>
        </w:rPr>
        <w:t xml:space="preserve">Quelle: </w:t>
      </w:r>
      <w:r>
        <w:t>https://mcp.opencaselaw.ch/entscheid/bs_appellationsgericht_ZB.2017.26</w:t>
      </w:r>
    </w:p>
    <w:p>
      <w:r>
        <w:t>FR: BS_APPELLATIONSGERICHT ZB.2017.26 du 3 juillet 2017</w:t>
      </w:r>
    </w:p>
    <w:p>
      <w:r>
        <w:t>IT: BS_APPELLATIONSGERICHT ZB.2017.26 del 3 luglio 2017</w:t>
      </w:r>
    </w:p>
    <w:p>
      <w:pPr>
        <w:pStyle w:val="Heading2"/>
      </w:pPr>
      <w:r>
        <w:t>Volltext</w:t>
      </w:r>
    </w:p>
    <w:p>
      <w:r>
        <w:t>Appellationsgericht</w:t>
      </w:r>
    </w:p>
    <w:p>
      <w:r>
        <w:t>des Kantons Basel-Stadt</w:t>
      </w:r>
    </w:p>
    <w:p>
      <w:r>
        <w:t>Einzelgericht</w:t>
      </w:r>
    </w:p>
    <w:p>
      <w:r>
        <w:t>ZB.2017.26</w:t>
      </w:r>
    </w:p>
    <w:p>
      <w:r>
        <w:t>ENTSCHEID</w:t>
      </w:r>
    </w:p>
    <w:p>
      <w:r>
        <w:t>vom6. März 2018</w:t>
      </w:r>
    </w:p>
    <w:p>
      <w:r>
        <w:t>Mitwirkende</w:t>
      </w:r>
    </w:p>
    <w:p>
      <w:r>
        <w:t>Dr. Olivier Steiner</w:t>
      </w:r>
    </w:p>
    <w:p>
      <w:r>
        <w:t>und Gerichtsschreiber Dr. Alexander Zürcher</w:t>
      </w:r>
    </w:p>
    <w:p>
      <w:r>
        <w:t>Parteien</w:t>
      </w:r>
    </w:p>
    <w:p>
      <w:r>
        <w:t>A____Berufungskläger 1</w:t>
      </w:r>
    </w:p>
    <w:p>
      <w:r>
        <w:t>[...]                                                                                                             Kläger 3</w:t>
      </w:r>
    </w:p>
    <w:p>
      <w:r>
        <w:t>B____Berufungsklägerin 2</w:t>
      </w:r>
    </w:p>
    <w:p>
      <w:r>
        <w:t>[...]                                                                                                          Klägerin 1</w:t>
      </w:r>
    </w:p>
    <w:p>
      <w:r>
        <w:t>c/o [...]</w:t>
      </w:r>
    </w:p>
    <w:p>
      <w:r>
        <w:t>gegen</w:t>
      </w:r>
    </w:p>
    <w:p>
      <w:r>
        <w:t>C____Berufungsbeklagter</w:t>
      </w:r>
    </w:p>
    <w:p>
      <w:r>
        <w:t>[...]                                                                                                           Beklagter</w:t>
      </w:r>
    </w:p>
    <w:p>
      <w:r>
        <w:t>vertreten durch [...], Advokat,</w:t>
      </w:r>
    </w:p>
    <w:p>
      <w:r>
        <w:t>[...]</w:t>
      </w:r>
    </w:p>
    <w:p>
      <w:r>
        <w:t>Gegenstand</w:t>
      </w:r>
    </w:p>
    <w:p>
      <w:r>
        <w:t>Berufunggegen einen Entscheid des Zivilgerichts</w:t>
      </w:r>
    </w:p>
    <w:p>
      <w:r>
        <w:t>vom 17. März 2017</w:t>
      </w:r>
    </w:p>
    <w:p>
      <w:r>
        <w:t>betreffend Gültigkeit eines Testaments</w:t>
      </w:r>
    </w:p>
    <w:p>
      <w:r>
        <w:t>Erwägungen</w:t>
      </w:r>
    </w:p>
    <w:p>
      <w:r>
        <w:t>A____ (Berufungskläger 1) und B____ (Berufungsklägerin 2) erhoben gegen den Entscheid des Zivilgerichts vom 17. März 2017 Berufung. Mit Verfügung vom 3. Juli 2017 forderte der Instruktionsrichter des Appellationsgerichts die beiden Berufungskläger auf, bis zum 17. August 2017 einen Kostenvorschuss an die Gerichtskosten von CHF 35'000. zu leisten. Nachdem diese Verfügung den Berufungsklägern nicht zugestellt werden konnte und diese ihre neue Adresse mitgeteilt hatten, wurde ihnen die Frist zur Leistung des Kostenvorschusses bis zum 1. September 2017 verlängert. Auf Gesuch der Berufungskläger hin verlängerte der Instruktionsrichter die Frist bis zum 2. Oktober 2017.</w:t>
      </w:r>
    </w:p>
    <w:p>
      <w:r>
        <w:t>Am 1. Oktober 2017 ersuchten die Berufungskläger um Bewilligung der unentgeltlichen Rechtspflege. Am 17. Oktober 2017 ersuchte der berufungsbeklagte C____ seinerseits um Sicherstellung seiner Parteientschädigung. Nachdem den Parteien das rechtliche Gehör gewährt worden war, setzte der Instruktionsrichter den Berufungsklägern mit Verfügung vom 20. Dezember 2017 eine nicht erstreckbare Frist bis zum 26. Januar 2018 zur Leistung des Kostenvorschusses von CHF 35'000. und zur Sicherstellung der Parteientschädigung des Berufungsbeklagten von CHF 47'800..</w:t>
      </w:r>
    </w:p>
    <w:p>
      <w:r>
        <w:t>Nachdem diese Beträge innert Frist nicht beim Appellationsgericht eingegangen waren, setzte der Instruktionsrichter den Berufungsklägern mit Verfügung vom 31. Januar 2018 eine unerstreckbare Nachfrist von 10 Tagen ab Zustellung der Verfügung zur Leistung des Kostenvorschuss und der Sicherheit; gleichzeitig drohte er den Berufungsklägern an, dass bei Nichteinhaltung dieser Frist gemäss Art. 101 Abs. 3 der Schweizerischen Zivilprozessordnung (ZPO, SR 272) auf die Berufung nicht eingetreten würde. Diese Verfügung wurde dem Berufungskläger 1 am 2. Februar 2018 zur Abholung gemeldet, aber innert der Abholungsfrist nicht abgeholt. Sie gilt deshalb als am 9. Februar 2018 zugestellt (vgl. Art. 138 Abs. 3 lit. a ZPO). Der Berufungsklägerin 2 konnte die Verfügung vom 31. Januar 2018 am 13. Februar 2018 zugestellt werden. Innert der mit dieser Verfügung gesetzten Nachfrist sind weder der Kostenvorschuss noch die Sicherheit geleistet worden. Auf die Berufung ist deshalb im Einklang mit Art. 101 Abs. 3 ZPO nicht einzutreten. Auf die Erhebung von Gerichtskosten wird verzichtet. Mangels Antrag ist auch keine Parteientschädigung zuzusprechen (zum Anspruch auf Parteientschädigung im Verfahren auf Sicherstellung der ParteientschädigungEmmel, in: Sutter-Somm/Hasenböhler/Leuenberger [Hrsg.], Kommentar zur Schweizerischen Zivilprozessordnung, 3. Auflage, Zürich/Basel/Genf 2016, Art. 119 N 15;Wuffli, Die unentgeltliche Rechtspflege in der Schweizerischen Zivilprozessordnung, Zürich/St. Gallen 2015, Rz 731, 733 f. und 811 f.).</w:t>
      </w:r>
    </w:p>
    <w:p>
      <w:r>
        <w:t>Demgemäss erkennt das Appellationsgericht (Einzelgericht):</w:t>
      </w:r>
    </w:p>
    <w:p>
      <w:r>
        <w:t>://:        Auf die Berufung gegen den Entscheid des Zivilgerichts vom 17. März 2017 (K5.2015.1) wird nicht eingetreten.</w:t>
      </w:r>
    </w:p>
    <w:p>
      <w:r>
        <w:t>Es werden keine Gerichtskosten erhoben.</w:t>
      </w:r>
    </w:p>
    <w:p>
      <w:r>
        <w:t>Die ausserordentlichen Kosten werden wettgeschlagen.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