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ZB.2015.43 vom 19. August 2015</w:t>
      </w:r>
    </w:p>
    <w:p>
      <w:r>
        <w:t>BS Appellationsgericht, 2015-08-19, DE</w:t>
      </w:r>
    </w:p>
    <w:p>
      <w:r>
        <w:rPr>
          <w:b/>
        </w:rPr>
        <w:t xml:space="preserve">Quelle: </w:t>
      </w:r>
      <w:r>
        <w:t>https://mcp.opencaselaw.ch/entscheid/bs_appellationsgericht_ZB.2015.43</w:t>
      </w:r>
    </w:p>
    <w:p>
      <w:r>
        <w:t>FR: BS_APPELLATIONSGERICHT ZB.2015.43 du 19 août 2015</w:t>
      </w:r>
    </w:p>
    <w:p>
      <w:r>
        <w:t>IT: BS_APPELLATIONSGERICHT ZB.2015.43 del 19 agosto 2015</w:t>
      </w:r>
    </w:p>
    <w:p>
      <w:pPr>
        <w:pStyle w:val="Heading2"/>
      </w:pPr>
      <w:r>
        <w:t>Erwägungen</w:t>
      </w:r>
    </w:p>
    <w:p>
      <w:r>
        <w:rPr>
          <w:b/>
        </w:rPr>
        <w:t>E. 1</w:t>
      </w:r>
    </w:p>
    <w:p>
      <w:r>
        <w:t>1.1Die vom Vermieter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und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und AGE BE.2011.105 vom 6. September 2011 E. 1.1), auch wenn der Mieter dies nicht oder nur ansatzweise moniert. Im vorliegenden Fall macht der Berufungskläger sinngemäss die Ungültigkeit der Kündigung geltend. In einem solchen Fall ist zur Bestimmung des Streitwerts von der sog. Sperrfristregel auszugehen. Der monatliche Bruttomietzins beträgt CHF 1'066., womit der erforderliche Streitwert von CHF 10'000. gemäss Art. 308 Abs. 2 ZPO erreicht wird (36 Monate à CHF 1'066. = CHF 38'376.). Das Rechtsmittel ist daher als Berufung zu behandeln. Dass die Rechtsmittelbelehrung im angefochtenen Entscheid demgegenüber die Beschwerde als massgebliches Rechtsmittel angegeben hat, schadet dem Berufungskläger nicht, da er sein Rechtsmittel ohnehin nicht bezeichnet und im Übrigen auch die Rechtsmittelfrist eingehalten hat (s. nachstehend E. 1.2).</w:t>
      </w:r>
    </w:p>
    <w:p>
      <w:r>
        <w:t>1.2Die Berufung ist nach der Zustellung des begründeten Entscheids am 4. August 2015 innert der Frist von 10 Tagen (Art. 314 Abs. 1 in Verbindung mit Art. 257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2.1Gemäss Art. 311 Abs. 1 ZPO ist die Berufung schriftlich und begründet einzureichen. Nach unbestrittener Auffassung in Lehre und Rechtsprechung gehören damit auch Rechtsbegehren zum notwendigen Inhalt der Berufungsschrift (BGE 137 III 617 E. 4.2.2 S. 618 f.; aus der Literatur eingehend etwaSeiler, a.a.O., N 872 ff.;Reetz/Theiler, in: Sutter-Somm/Hasenböhler/Leuenberger [Hrsg.], Kommentar zur Schweizerischen Zivilprozessordnung, 2. Auflage, Zürich/Basel/Genf 2013, Art. 311 N 34 f.). Bei der vorliegenden Berufung fällt auf, dass sie keinerlei ausdrückliche Berufungsanträge enthält. Immerhin kann aus der Begründung der Berufung implizit geschlossen werden, dass der Berufungskläger die Aufhebung des angefochtenen Entscheids und die Abweisung des Ausweisungsgesuchs anbegehrt. Da er die Berufung als juristischer Laie verfasst hat, kann trotz des Fehlens expliziter Anträge ausnahmsweise insoweit auf die Berufung eingetreten werden (vgl. AGE ZB.2013.40 vom 17. Juni 2014 E. 1.4; fernerSeiler, a.a.O., N 881).</w:t>
      </w:r>
    </w:p>
    <w:p>
      <w:r>
        <w:t>2.2Im Rahmen seiner Begründungspflicht (Art. 311 Abs. 1 ZPO) ist der Berufungskläger gehalten, sich in der Berufung mit den Erwägungen im angefochtenen Entscheid auseinanderzusetzen und konkret aufzuzeigen, inwiefern er diese für fehlerhaft hält und inwieweit der angefochtene Entscheid deshalb geändert oder aufgehoben werden soll (BGE 137 III 617 E. 4.2.2 S. 618 f.;Seiler, a.a.O., N 893). Die Begründung muss hinreichend genau und eindeutig sein. Dies setzt voraus, dass der Berufungskläger im Einzelnen die erstinstanzlichen Erwägungen bezeichnet, die er anficht, und die Aktenstücke nennt, auf denen seine Kritik beruht (AGE ZB.2014.17 vom 1. April 2015 E. 4.4.3;Reetz/Theiler, a.a.O., Art. 311 N 36). Diese Anforderungen erfüllt die vorliegende Berufungsschrift nicht einmal im Ansatz.</w:t>
      </w:r>
    </w:p>
    <w:p>
      <w:r>
        <w:t>Im angefochtenen Entscheid hat die Zivilgerichtspräsidentin das Ausweisungsgesuch mit der Begründung gutgeheissen, dass das Mietverhältnis gestützt auf die Zweiterstreckungsvereinbarung der Parteien vom 11. November 2014 definitiv per Ende Mai 2015 geendet habe (angefochtener Entscheid, E. 1.3). Den Einwand des Berufungsklägers, er habe jenen Vergleich so gar nicht abschliessen wollen, hat sie mit der Begründung verworfen, er habe nach Unterzeichnung der Vereinbarung eine Bedenkfrist von 10 Tagen eingeräumt erhalten. In dieser Zeit habe er sich das Vereinbarte nochmals überlegen, sich allenfalls beraten und nötigenfalls den Vergleich widerrufen können, falls er zum Schluss gelangen sollte, dass er doch nicht einverstanden sei. Der Berufungskläger sei zwar zur Mietschlichtungsstelle gegangen, um einen Widerruf vorzunehmen. Wenn er es sich dann aber angesichts der möglichen (Kosten-)Folgen und Risiken eines solchen Widerrufs anders überlegt und darauf verzichtet habe, müsse er sich dies entgegenhalten lassen. Im Übrigen hätte der Berufungskläger auch die Möglichkeit gehabt, den rechtskräftigen Vergleich innerhalb von 90 Tagen seit Kenntnis des Willensmangels bei der Mietschlichtungsstelle mittels Revision (Art. 328 ff. ZPO) anzufechten. Dies habe er jedoch nicht (fristgerecht) getan (E. 1.2).</w:t>
      </w:r>
    </w:p>
    <w:p>
      <w:r>
        <w:t>Mit diesen Erwägungen setzt sich der Berufungskläger nicht im Entferntesten auseinander. Er macht in kaum verständlicher Weise ausschliesslich Ausführungen zu angeblichen Mängeln der Mietsache (defekter Kühlschrank), Kommunikationsproblemen mit der Liegenschaftsverwaltung, seiner fehlenden Bereitschaft zu einem Umzug und weiteren aus der Angelegenheit resultierenden Problemen. Warum das Miet­verhältnis entgegen den vorinstanzlichen Ausführungen nicht am 31. Mai 2015 geendet haben soll, insbesondere warum die Zweiterstreckungsvereinbarung vom 11. November 2014 nicht rechtsgültig abgeschlossen sein soll, lässt sich der Berufung hingegen nicht entnehmen. Mangels ausreichender Begründung ist unter diesen Umständen auf die Berufung nicht einzutreten. Im Übrigen kann der Berufungskläger darauf hingewiesen werden, dass die Erwägungen im angefochtenen Entscheid offensichtlich zutreffend erscheinen und daher seine Berufung aufzuweisen wäre, selbst wenn darauf eingetreten werden könnte.</w:t>
      </w:r>
    </w:p>
    <w:p>
      <w:r>
        <w:rPr>
          <w:b/>
        </w:rPr>
        <w:t>E. 3</w:t>
      </w:r>
    </w:p>
    <w:p>
      <w:r>
        <w:t>Bei diesem Ausgang des Verfahrens trägt der Berufungskläger dessen Kosten (Art. 106 Abs. 1 ZPO). Der Berufungsbeklagten sind, da auf die Einholung einer Berufungsantwort verzichtet worden ist, keine Vertretungskosten entstanden. Die ausserordentlichen Kosten werden deshalb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