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ZB.2015.10 vom 16. März 2015</w:t>
      </w:r>
    </w:p>
    <w:p>
      <w:r>
        <w:t>BS Appellationsgericht, 2015-03-16, DE</w:t>
      </w:r>
    </w:p>
    <w:p>
      <w:r>
        <w:rPr>
          <w:b/>
        </w:rPr>
        <w:t xml:space="preserve">Quelle: </w:t>
      </w:r>
      <w:r>
        <w:t>https://mcp.opencaselaw.ch/entscheid/bs_appellationsgericht_ZB.2015.10</w:t>
      </w:r>
    </w:p>
    <w:p>
      <w:r>
        <w:t>FR: BS_APPELLATIONSGERICHT ZB.2015.10 du 16 mars 2015</w:t>
      </w:r>
    </w:p>
    <w:p>
      <w:r>
        <w:t>IT: BS_APPELLATIONSGERICHT ZB.2015.10 del 16 marzo 2015</w:t>
      </w:r>
    </w:p>
    <w:p>
      <w:pPr>
        <w:pStyle w:val="Heading2"/>
      </w:pPr>
      <w:r>
        <w:t>Erwägungen</w:t>
      </w:r>
    </w:p>
    <w:p>
      <w:r>
        <w:rPr>
          <w:b/>
        </w:rPr>
        <w:t>E. 1</w:t>
      </w:r>
    </w:p>
    <w:p>
      <w:r>
        <w:t>1.1Die vom Kanton Basel-Stadt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 Im vorliegenden Fall machen die Berufungskläger geltend, dass das mehrfach befristete Mietverhältnis über den 30. Juni 2014 unbefristet fortgesetzt worden sei (Berufung, Rz. 1.3.1, 7.3.2 und 7.3.3). In einem solchen Fall ist zur Bestimmung des Streitwerts von der sog. Sperrfristregel auszugehen. Der mo­natliche Bruttomietzins beträgt CHF 1251., womit der erforderliche Streitwert von CHF 10'000. gemäss Art. 308 Abs. 2 ZPO erreicht wird (36 Monate à CHF 1251.). Das Rechtsmittel ist daher als Berufung zu behandeln.</w:t>
      </w:r>
    </w:p>
    <w:p>
      <w:r>
        <w:t>1.2Die Berufung ist nach der Zustellung des begründeten Entscheids am 4. Februar 2014 innert der Frist von 10 Tagen (Art. 314 Abs. 1 in Verbindung mit Art. 257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führt im angefochtenen Entscheid einleitend aus, dass das Gericht gemäss Art. 257 Abs. 1 ZPO Rechtsschutz im summarischen Verfahren gewähre, wenn der Sachverhalt unbestritten oder sofort beweisbar sei und die Rechtslage klar sei (E. 2.1). Das Zivilgericht legt sodann dar, dass sich der Vermieter im vorliegenden Fall auf den Ablauf eines befristeten Mietverhältnisses berufe. Aus sämtlichen Mietverträgen und Verlängerungen ergebe sich ohne Weiteres, dass das Mietobjekt den Mietern jeweils für eine feste Zeitdauer zur Verfügung gestellt worden sei. Nach der befristeten Verlängerungsvereinbarung vom 14. April 2014 sei keine weitere Verlängerung über den 30. Juni 2014 hinaus gewährt worden (E. 2.2). Das Zivilgericht setzt sich sodann mit dem Einwand der Mieter auseinander, es liege ein unzulässiger Kettenmietvertrag vor. Es verweist auf BGE 139 III 145, wonach Kettenmietverträge unter Vorbehalt der Gesetzesumgehung zulässig seien. Die Mieter hätten nun nicht schlüssig und substantiiert behauptet, worin im vorliegenden Fall eine Gesetzesumgehung bestehen soll (E. 2.4). Das Zivilgericht prüft anschliessend den weiteren Einwand der Mieter, wonach ein unbefristetes Mietverhältnis anzunehmen sei, wenn die Parteien nach Ablauf der Befristung das Mietverhältnis stillschweigend fortsetzten. Mit Schreiben vom 11. August 2014 lasse der Vermieter die Möglichkeit einer erneuten befristeten Verlängerung zwar offen; aufgrund der vorangegangenen konsequent befristeten Verlängerungen sei der Wille zur Fortsetzung des Mietverhältnisses als unbefristetes Verhältnis aber abwegig. Damit liege ein befristetes Mietverhältnis vor, das Ende Juni 2014 abgelaufen sei (E. 2.5).</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rPr>
          <w:b/>
        </w:rPr>
        <w:t>E. 2.3</w:t>
      </w:r>
    </w:p>
    <w:p>
      <w:r>
        <w:t>2.3.1Im vorliegenden Fall legen die Berufungskläger zunächst den Sachverhalt aus ihrer Sicht dar,ohne zu rügen, in welchen Punkten der angefochtene Entscheid falsch sein soll (Berufung, Rz. 6.1.1  6.2).Dies ist prozessual ungenügend.Die Berufungskläger müssten mit der Berufungsbegründung erklären, weshalb der erstinstanzliche Entscheid in den angefochtenen Punkten unrichtig sein soll. Es wird mit anderen Worten verlangt, dass sie sich mit der Begründung des angefochtenen Entscheids auseinandersetzen (Reetz/Theiler, in: Sutter-Somm/Hasenböhler/Leuenberger [Hrsg.], Kommentar zur Schweizerischen Zivilprozessordnung, 2. Auflage, Zürich/Basel/Genf 2013, Art. 311 N 36). Indem die Berufungsklägerden Sachverhalt einfach nochmals aus ihrer Sicht präsentieren, ohne die vorinstanzliche Sachverhaltsdarstellung in konkreten Punkten zu kritisieren, fehlt es an einer Auseinandersetzung mit der Begründung des erstinstanzlichen Entscheids.Mangels konkreter Rügen erübrigt es sich somit auch, auf die entsprechenden Ausführungen in der Berufung einzugehen.</w:t>
      </w:r>
    </w:p>
    <w:p>
      <w:r>
        <w:t>2.3.2Die Berufungskläger führen in der Berufung sodann aus, die Befristung der Mietverträge in den ersten Mietjahren sei nicht zu beanstanden; sie sei sachlich gerechtfertigt gewesen, soll doch eine Notwohnung so bald wie möglich wieder verlassen werden. Im Jahr 2011 hätte der Vermieter aber erkennen müssen, dass der Mietzinsausstand von rund CHF 20000., die erheblichen Betreibungen und der tiefe Leerwohnungsbestand es den Berufungsklägern verunmögliche, auf dem ordentlichen Wohnungsmarkt eine neue Wohnung zu finden. Der Druck zur permanenten Wohnungssuche sei somit sachlich nicht mehr gerechtfertigt gewesen und es lägen unzulässige Kettenmietverträge vor (Berufung, Rz. 7.3.3; vgl. auch Protokoll der zivilgerichtlichen Verhandlung, S. 3).</w:t>
      </w:r>
    </w:p>
    <w:p>
      <w:r>
        <w:t>Das Bundesgericht hat in BGE 139 III 145 (= Praxis 2013 Nr. 96) die umstrittene Frage der Zulässigkeit von Kettenmietverträgen bejaht, dies unter dem Vorbehalt der Gesetzesumgehung. Gemäss diesem Entscheid verlangt das Gesetz keinen besonderen Grund für den Abschluss eines befristeten Mietvertrags und verbietet es nicht, zwei oder mehrere solcher Verträge nacheinander abzuschliessen. Es ist  so das Bundesgericht weiter  vielmehr zu prüfen, ob die Sachverhaltsfeststellungen zum Schluss führen, dass der Vermieter ein System konstruiert hat, welches sich einzig mit dem Willen zur Umgehung von zwingenden Gesetzesbestimmungen erklären lässt. Die Beweislast obliegt dabei dem Mieter (BGE 139 III 145 E. 4.3.2 S. 152 f.).</w:t>
      </w:r>
    </w:p>
    <w:p>
      <w:r>
        <w:t>Die bereits vor Zivilgericht vorgetragene Argumentation der Berufungskläger vermag die Klarheit der Rechtslage nicht in Frage zu stellen. Die Berufungskläger behaupten im Kern, dass der Druck zur permanenten Wohnungssuche und damit auch der Abschluss von befristeten Mietverträgen seit dem Jahr 2011 nicht mehr gerechtfertigt gewesen sei. Das Zivilgericht hat die Behauptung einer fehlenden Rechtfertigung der Aneinanderreihung befristeter Mietverträge mit überzeugenden Argumenten widerlegt. Es hat namentlich ausgeführt, dass es sich beim Mietobjekt um eine Notwohnung handle. Notwohnungen würden besonders benachteiligten Personen im Sinn einer Übergangslösung vom Kanton zur Verfügung gestellt. Die Berufungskläger seien bei sämtlichen Verlängerungen an ihre Pflicht zur intensiven Suche auf dem freien Wohnungsmarkt erinnert worden. Auch wenn sie die Wohnung seit über fünf Jahren bewohnten, bestehe kein Anspruch auf eine Notwohnung oder auf eine Verlängerung des Mietverhältnisses über die Notwohnung. Worin die Missbräuchlichkeit des Ketten­mietvertrags vorliegend bestehen solle, sei nicht konkret dargelegt worden (angefochtener Entscheid, E. 2.4). Es ist darüber hinaus darauf hinzuweisen, dass das Fehlen einer Rechtfertigung allein nicht bereits zur Unzulässigkeit von Kettenmietverträgen führt. Das vom Vermieter konstruierte System muss nämlich nicht nur sachlich nicht gerechtfertigt, sondern auch einzig mit dem Willen zur Gesetzesumgehung erklärbar sein. Im vorliegenden Fall haben die Berufungskläger dies nicht einmal behauptet. Damit ist von einer klaren Rechtslage auszugehen: Der Vermieter war im vorliegenden Fall eindeutig berechtigt, jeweils befristete Mietverträge abzuschliessen, die jeweils mit Ablauf der Befristung endeten. Demgemäss liegt ein befristetes Mietverhältnis vor, das am 30. Juni 2014 ohne Kündigung geendet hat.</w:t>
      </w:r>
    </w:p>
    <w:p>
      <w:r>
        <w:t>2.3.3Die Berufungskläger machen schliesslich in der Berufung geltend, der Vermieter habe mit der Verlängerungsvereinbarung und seiner Kurzmitteilung, beide vom 14. April 2014, die Fortsetzung des Mietvertrags über den 30. Juni 2014 hinaus zugesagt (Berufung, Rz. 7.3.2). An der zivilgerichtlichen Verhandlung vom 20. Ja­nuar 2015 haben die bereits damals anwaltlich vertretenen Berufungskläger dies noch nicht geltend gemacht. Die Behauptung ist somit neu. Nach Art. 317 Abs. 1 ZPO können im Berufungsverfahren neue Tatsachen und Beweismittel im Sinn unechter Noven jedoch nur berücksichtigt werden, wenn sie ohne Verzug vorgebracht werden (lit. a) und trotz zumutbarer Sorgfalt nicht schon vor erster Instanz vorgebracht werden konnten (lit. b). Es wird von den Berufungsklägern nicht dargetan, warum es ihnen nicht möglich gewesen sein soll, dieses Vorbringen schon im vorinstanzlichen Verfahren vorzutragen. Unter diesen Umständen ist das Vorbringen nicht geeignet, die Liquidität des Sachverhalts im Zeitpunkt der erstinstanzlichen Verhandlung in Frage zu stellen.</w:t>
      </w:r>
    </w:p>
    <w:p>
      <w:r>
        <w:rPr>
          <w:b/>
        </w:rPr>
        <w:t>E. 3</w:t>
      </w:r>
    </w:p>
    <w:p>
      <w:r>
        <w:t>Zusammenfassend ist festzustellen, dass das Zivilgericht zu Recht einen liquiden Sachverhalt und eine klare Rechtslage bejaht hat. Demgemäss ist es nicht zu beanstanden, dass es den Ausweisungsentscheid im summarischen Verfahren gemäss Art. 257 ZPO gefällt hat. Demgemäss ist die Berufung abzuweisen. Bei diesem Ausgang des Verfahrens haben die Berufungskläger die Gerichtskosten des Berufungsverfahrens zu tragen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