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VG.2024.1 vom 18. August 2025</w:t>
      </w:r>
    </w:p>
    <w:p>
      <w:r>
        <w:t>BS Appellationsgericht, 2025-08-18, DE</w:t>
      </w:r>
    </w:p>
    <w:p>
      <w:r>
        <w:rPr>
          <w:b/>
        </w:rPr>
        <w:t xml:space="preserve">Quelle: </w:t>
      </w:r>
      <w:r>
        <w:t>https://mcp.opencaselaw.ch/entscheid/bs_appellationsgericht_VG.2024.1</w:t>
      </w:r>
    </w:p>
    <w:p>
      <w:r>
        <w:t>FR: BS_APPELLATIONSGERICHT VG.2024.1 du 18 août 2025</w:t>
      </w:r>
    </w:p>
    <w:p>
      <w:r>
        <w:t>IT: BS_APPELLATIONSGERICHT VG.2024.1 del 18 agosto 2025</w:t>
      </w:r>
    </w:p>
    <w:p>
      <w:pPr>
        <w:pStyle w:val="Heading2"/>
      </w:pPr>
      <w:r>
        <w:t>Erwägungen</w:t>
      </w:r>
    </w:p>
    <w:p>
      <w:r>
        <w:rPr>
          <w:b/>
        </w:rPr>
        <w:t>E. 28</w:t>
      </w:r>
    </w:p>
    <w:p>
      <w:r>
        <w:t>September 2017 E. 2.1.1, VG.2017.3 vom 18. März 2018 E. 2.1.1). Obwohl mit Vernehmlassung vom 26. Februar 2025 zu Recht die Frage aufgeworfen wird, ob und inwiefern der Grundsatz «in dubio pro populo» bei Gemeindeinitiativen überhaupt Anwendung findet, ist mit dem Regierungsrat die Initiative vorliegend im Sinne dieses Grundsatzes zu prüfen. Sodann muss der Text einer Initiative genügend bestimmt sein. Es muss hinreichend klar sein, worauf die Initiative gerichtet ist, so dass eine Volksabstimmung durchgeführt werden kann, ohne dass sich die Stimmberechtigten der Gefahr eines Irrtums über wesentliche Punkte ausgesetzt sehen. Bei unformulierten Initiativen sind keine hohen Ansprüche an die Formulierung zu stellen, da gewisse Unklarheiten, ja vielleicht sogar Widersprüche, bei der Ausarbeitung des Verfassungs-, Gesetzes- oder Beschlusstextes im Parlament noch behoben werden können (vgl. BGE 129 I 392 E. 2.2, 111 Ia 115 E. 3a, 111 Ia 303 E. 7b, jeweils mit Hinweisen).</w:t>
      </w:r>
    </w:p>
    <w:p>
      <w:r>
        <w:t>2.2.3Die Korrektur im Rahmen der Umsetzung darf jedoch nur gewisse untergeordnete Punkte betreffen, da das Volksbegehren vom Gesetzgeber nicht grundlegend umgedeutet werden darf. Nach bundesgerichtlicher Rechtsprechung verstossen unformulierte Initiativen gegen übergeordnetes Recht, wenn der in der Initiative enthaltene Entwurf schon allein aufgrund seines Zwecks oder wegen der vorgeschlagenen Mittel nur durch Beifügung von Vorbehalten oder Bedingungen, die seine Natur tiefgreifend verändern, mit dem höherrangigen Recht in Einklang gebracht werden kann. Eine solche Auslegung würde in Konflikt geraten mit der grundlegenden Achtung des Willens der Unterzeichnenden und des Volks, das dazu aufgerufen wird, sich zu einer Initiative zu äussern; dieser Wille darf laut Bundesgericht nicht mit der Vorlage eines Entwurfs, der nicht in verfassungskonformer Weise umsetzbar ist, verfälscht werden (BGE 143 I 129 E. 2.2; vgl.Schaub, Die Vereinbarkeit kantonaler Volksinitiativen mit dem übergeordneten Recht, Diss., Zürich 2023, N 288). Gemäss bundesgerichtlicher Rechtsprechung setzt die Ungültigerklärung einer in der Form der allgemeinen Anregung eingereichten Initiative wegen Unvereinbarkeit mit höherrangigem Recht voraus, dass eine Umsetzung der Initiative ohne offensichtlichen Widerspruch zum übergeordnetem Recht von vornherein ausgeschlossen erscheint. Lässt sich eine in der Form der allgemeinen Anregung eingereichte Initiative hingegen auf eine Art und Weise umsetzen, dass kein offensichtlicher Widerspruch zum übergeordneten Recht resultiert, darf sie nicht für ungültig erklärt werden. Überwindbare praktische Schwierigkeiten bei der Umsetzung der Initiative sowie allenfalls mit der Umsetzung verbundene hohe Kosten für das Gemeinwesen können nicht zur Ungültigerklärung der Initiative führen (BGE 143 I 361 E. 3.3; BGer 1C_503/2018 vom 1. April 2020 E. 4.3). Bei der Überprüfung der inhaltlichen Rechtmässigkeit allgemeiner Anregungen ist danach zu fragen, ob dem kantonalen Gesetzgeber bei der Umsetzung der Initiative unter Wahrung des mit ihr verfolgten Grundanliegens Gestaltungsspielräume verbleiben, die es ihm erlauben, einen voraussichtlich mit dem höherrangigen Recht vereinbaren Erlass auszuarbeiten (Schaub, a.a.O., N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