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VD.2025.39 vom 8. September 2025</w:t>
      </w:r>
    </w:p>
    <w:p>
      <w:r>
        <w:t>BS Appellationsgericht, 2025-09-08, DE</w:t>
      </w:r>
    </w:p>
    <w:p>
      <w:r>
        <w:rPr>
          <w:b/>
        </w:rPr>
        <w:t xml:space="preserve">Quelle: </w:t>
      </w:r>
      <w:r>
        <w:t>https://mcp.opencaselaw.ch/entscheid/bs_appellationsgericht_VD.2025.39</w:t>
      </w:r>
    </w:p>
    <w:p>
      <w:r>
        <w:t>FR: BS_APPELLATIONSGERICHT VD.2025.39 du 8 septembre 2025</w:t>
      </w:r>
    </w:p>
    <w:p>
      <w:r>
        <w:t>IT: BS_APPELLATIONSGERICHT VD.2025.39 del 8 settembre 2025</w:t>
      </w:r>
    </w:p>
    <w:p>
      <w:pPr>
        <w:pStyle w:val="Heading2"/>
      </w:pPr>
      <w:r>
        <w:t>Erwägungen</w:t>
      </w:r>
    </w:p>
    <w:p>
      <w:r>
        <w:rPr>
          <w:b/>
        </w:rPr>
        <w:t>E. 17</w:t>
      </w:r>
    </w:p>
    <w:p>
      <w:r>
        <w:t>Februar 2025 aufzuheben und der Rekurrent umgehend aus dem Waaghofgefängnis in Freiheit zu entlassen sei, sofern er nicht sofort in eine geeignete Massnahmenvollzugsinstitution verlegt werden könne, weggefallen. Nach erfolgter Versetzung des Rekurrenten vom Untersuchungsgefängnis in eine geeignete Vollzugseinrichtung ist das Verfahren diesbezüglich als gegenstandslos abzuschreiben.</w:t>
      </w:r>
    </w:p>
    <w:p>
      <w:r>
        <w:t>Gleiches gilt in Bezug auf die Rüge der Verletzung des Akteneinsichtsrechts bzw. des rechtlichen Gehörs. Diese wurde, sofern sie überhaupt vorlag, mit dem Weiterzug ans Verwaltungsgericht und der umfassenden Gewährung des Akteneinsichtsrechts geheilt, womit das entsprechende Rechtschutzinteresse dahingefallen ist.</w:t>
      </w:r>
    </w:p>
    <w:p>
      <w:r>
        <w:t>1.3Das Verwaltungsgericht hat volle Kognition (Ratschlag Nr. 18.1330.01 vom 26. September 2018 zu einem neuen Gesetz über den Justizvollzug [nachfolgend Ratschlag]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 (vgl. VGE VD.2023.41 vom 19. Juni 2023 E. 1.3, VD.2021.135 vom 2. Dezember 2021 E. 1.3).</w:t>
      </w:r>
    </w:p>
    <w:p>
      <w:r>
        <w:t>2.4.3Vorliegend hat die Abteilung SMV die Abweisung des Gesuchs um unentgeltliche Rechtspflege in erster Linie mit der Aussichtslosigkeit des Gesuchs um Vollzugsunterbrechung begründet. Nach der bundesgerichtlichen Rechtsprechung sind Begehren als aussichtslos anzusehen, wenn deren Gewinnaussichten beträchtlich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BGer 7B_390/2024 vom 20. Juni 2024 E. 5.2; VGE VD.2025.25 vom 21. Juli 2025 E. 3.3.3.).</w:t>
      </w:r>
    </w:p>
    <w:p>
      <w:r>
        <w:t>2.4.4Die Vorinstanz hat mit Blick auf die vorstehenden Erwägungen (vgl. insbesondere E. 2.3) Gründe für eine Vollzugsunterbrechung zu Recht verneint. Sie durfte damit im Rahmen ihres Ermessens von der Aussichtslosigkeit des entsprechenden Gesuchs ausgehen, womit die Verweigerung der unentgeltlichen Rechtspflege im vorinstanzlichen Verfahren bestätigt werden kann.</w:t>
      </w:r>
    </w:p>
    <w:p>
      <w:r>
        <w:t>://:        Der Rekurs wird abgewiesen, soweit darauf eingetreten und dieser nicht infolge Gegenstandslosigkeit abgeschrieben wird.</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wird dem Rechtsbeistand des Rekurrenten, für das verwaltungsgerichtliche Rekursverfahren eine Entschädigung von CHF 4'030.30, einschliesslich Auslagen und zuzüglich 8,1 % MWST von CHF 326.45, insgesamt somit CHF 4'356.75, aus der Gerichtskasse ausgerichtet.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