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VD.2024.2 vom 19. Juni 2024</w:t>
      </w:r>
    </w:p>
    <w:p>
      <w:r>
        <w:t>BS Appellationsgericht, 2024-06-19, DE</w:t>
      </w:r>
    </w:p>
    <w:p>
      <w:r>
        <w:rPr>
          <w:b/>
        </w:rPr>
        <w:t xml:space="preserve">Quelle: </w:t>
      </w:r>
      <w:r>
        <w:t>https://mcp.opencaselaw.ch/entscheid/bs_appellationsgericht_VD.2024.2</w:t>
      </w:r>
    </w:p>
    <w:p>
      <w:r>
        <w:t>FR: BS_APPELLATIONSGERICHT VD.2024.2 du 19 juin 2024</w:t>
      </w:r>
    </w:p>
    <w:p>
      <w:r>
        <w:t>IT: BS_APPELLATIONSGERICHT VD.2024.2 del 19 giugno 2024</w:t>
      </w:r>
    </w:p>
    <w:p>
      <w:pPr>
        <w:pStyle w:val="Heading2"/>
      </w:pPr>
      <w:r>
        <w:t>Volltext</w:t>
      </w:r>
    </w:p>
    <w:p>
      <w:r>
        <w:t>Appellationsgericht</w:t>
      </w:r>
    </w:p>
    <w:p>
      <w:r>
        <w:t>des Kantons Basel-Stadt</w:t>
      </w:r>
    </w:p>
    <w:p>
      <w:r>
        <w:t>als Verwaltungsgericht</w:t>
      </w:r>
    </w:p>
    <w:p>
      <w:r>
        <w:t>Dreiergericht</w:t>
      </w:r>
    </w:p>
    <w:p>
      <w:r>
        <w:t>VD.2024.2</w:t>
      </w:r>
    </w:p>
    <w:p>
      <w:r>
        <w:t>URTEIL</w:t>
      </w:r>
    </w:p>
    <w:p>
      <w:r>
        <w:t>vom 19. Juni 2024</w:t>
      </w:r>
    </w:p>
    <w:p>
      <w:r>
        <w:t>Mitwirkende</w:t>
      </w:r>
    </w:p>
    <w:p>
      <w:r>
        <w:t>Dr. Stephan Wullschleger, lic. iur. André Equey,</w:t>
      </w:r>
    </w:p>
    <w:p>
      <w:r>
        <w:t>lic. iur. Lucienne Renaud</w:t>
      </w:r>
    </w:p>
    <w:p>
      <w:r>
        <w:t>und Gerichtsschreiberin MLaw Marion Wüthrich</w:t>
      </w:r>
    </w:p>
    <w:p>
      <w:r>
        <w:t>Beteiligte</w:t>
      </w:r>
    </w:p>
    <w:p>
      <w:r>
        <w:t>A____Rekurrentin</w:t>
      </w:r>
    </w:p>
    <w:p>
      <w:r>
        <w:t>[...]</w:t>
      </w:r>
    </w:p>
    <w:p>
      <w:r>
        <w:t>vertreten durch [...], Advokat,</w:t>
      </w:r>
    </w:p>
    <w:p>
      <w:r>
        <w:t>[...]</w:t>
      </w:r>
    </w:p>
    <w:p>
      <w:r>
        <w:t>gegen</w:t>
      </w:r>
    </w:p>
    <w:p>
      <w:r>
        <w:t>Bereich Bevölkerungsdienste und Migration</w:t>
      </w:r>
    </w:p>
    <w:p>
      <w:r>
        <w:t>Migrationsamt</w:t>
      </w:r>
    </w:p>
    <w:p>
      <w:r>
        <w:t>Spiegelgasse 12, 4051 Basel</w:t>
      </w:r>
    </w:p>
    <w:p>
      <w:r>
        <w:t>Gegenstand</w:t>
      </w:r>
    </w:p>
    <w:p>
      <w:r>
        <w:t>Rekursgegen einen Entscheid des Justiz- und Sicherheitsdepartements</w:t>
      </w:r>
    </w:p>
    <w:p>
      <w:r>
        <w:t>vom 29. September 2023</w:t>
      </w:r>
    </w:p>
    <w:p>
      <w:r>
        <w:t>betreffend Nichtverlängerung der Härtefallbewilligung und Wegweisung</w:t>
      </w:r>
    </w:p>
    <w:p>
      <w:r>
        <w:t>1.4Art. 110 BGG schreibt den Kantonen in Konkretisierung der Rechtsweggarantie gemäss Art. 29a der Bundesverfassung (BV, SR 101) vor, dass die unmittelbaren Vorinstanzen des Bundesgerichts oder eine vorgängig zuständige andere richterliche Behörde den Sachverhalt frei prüft. Daraus folgt, dass im gerichtlichen Verfahren von Bundesrechts wegen auch neue Tatsachen und Beweismittel (sogenannte Noven) unterbreitet werden können (VGE VD.2017.261 vom 21. September 2018 E. 2.2, VD.2016.221 vom 16. November 2017 E. 1.2.2, VD.2015.133 vom 8. Dezember 2015 E. 4.3.1). Bis zu welchem Zeitpunkt im Verfahren diese vorgebracht werden dürfen, regelt das Bundesrecht indessen nicht. Es ist vielmehr Sache des anwendbaren kantonalen Verfahrensrechts, hierüber die erforderlichen Bestimmungen aufzustellen (BGer 2C_52/2014 vom 23. Oktober 2014 E. 5.2, 2C_961/2013 vom 29. April 2014 E. 3.4, 2C_354/2009 vom 30. Juni 2010 E. 3.1; VGE VD.2017.261 vom 21. September 2018 E. 2.2, VD.2016.221 vom 16. November 2017 E. 1.2.2, VD.2015.133 vom 8. Dezember 2015 E. 4.3.1). Gemäss § 18 VRPG gilt zwar auch im verwaltungsgerichtlichen Verfahren grundsätzlich die Untersuchungsmaxime. Danach hat das Gericht unabhängig von Beweisanträgen der Parteien «die materielle Wahrheit von Amtes wegen zu erforschen». Dieser Grundsatz wird aber durch die prozessuale Mitwirkungspflicht der Parteien begrenzt (VGE VD.2017.261 vom 21. September 2018 E. 2.2, VD.2016.221 vom 16. November 2017 E. 1.2.2, VD.2015.133 vom 8. Dezember 2015 E. 4.3.1). In Anwendung von § 16 Abs. 2 VRPG müssen daher nach feststehender Praxis des Verwaltungsgerichts bereits mit der Rekursbegründung alle Sachverhaltsvorbringen erhoben und belegt werden (VGE VD.2017.261 vom 21. September 2018 E. 2.2, VD.2016.221 vom 16. November 2017 E. 1.2.2, VD.2016.194 vom 27. Dezember 2016 E. 2.4). In späteren Eingaben kann die rekurrierende Partei keine Noven mehr vorbringen, es sei denn, die neuen Tatsachen oder Beweismittel hätten sich erst später ereignet oder seien erst später bekannt geworden oder es habe zu den betreffenden Vorbringen vorher kein Anlass bestanden (VGE VD.2016.221 vom 16. November 2017 E. 1.2.2; VGE 765/2007 vom 7. November 2008 E. 5;Wullschleger/Schröder, a.a.O., S. 277, 307). Nach der jüngeren Praxis des Verwaltungsgerichts sind sogar nur noch echte Noven zulässig (VGE VD.2016.96 vom 5. November 2016 E. 4.4.6, VD.2015.133 vom 8. Dezember 2015 E. 4.3.1, VD.2014.99 vom 21. Mai 2015 E. 1.3.2).</w:t>
      </w:r>
    </w:p>
    <w:p>
      <w:r>
        <w:t>1.5Die von den Parteien anerkannten Tatsachen dürfen als wahr angenommen werden. Im Zweifel bleibt dem Gericht die Beweiserhebung vorbehalten. Als anerkannt gelten auch die in der angefochtenen Verfügung ausdrücklich festgestellten Tatsachen, die die Rekurrentin nicht bestritten hat (§ 18 VRPG). Pauschale Bestreitungen genügen nicht, um eine Tatsache als streitig zu qualifizieren. Vielmehr muss eine Bestreitung substanziiert bzw. detailliert erfolgen (vgl. ausführlich: VGE VD.2020.27 vom 1. Dezember 2020 E. 1.5; VD.2019.216 vom 20. Oktober 2020 E. 1.5, je mit Hinweisen).</w:t>
      </w:r>
    </w:p>
    <w:p>
      <w:r>
        <w:t>2.</w:t>
      </w:r>
    </w:p>
    <w:p>
      <w:r>
        <w:t>2.1Gemäss Art. 30 Abs. 1 lit. b des Bundesgesetzes über die Ausländerinnen und Ausländer und über die Integration (AIG, SR 142.20) kann von den Zulassungsvoraussetzungen gemäss Art. 18-29 AIG unter anderem abgewichen werden, um wichtigen öffentlichen Interessen Rechnung zu tragen. Gemäss Art. 32 Abs. 1 der Verordnung über Zulassung, Aufenthalt und Erwerbstätigkeit (VZAE, SR 142.201) kann zur Wahrung wichtiger öffentlicher Interessen eine Kurzaufenthalts- oder Aufenthaltsbewilligung erteilt werden. Bei der Beurteilung sind insbesondere bedeutende kulturelle Anliegen (lit. a), staatspolitische Gründe (lit. b), erhebliche kantonale finanzielle Interessen (lit. c) und die Notwendigkeit der Anwesenheit einer Ausländerin oder eines Ausländers im Rahmen eines Strafverfahrens (lit. d) zu berücksichtigen.</w:t>
      </w:r>
    </w:p>
    <w:p>
      <w:r>
        <w:t>Zu prüfen ist bei dieser Ausgangslagedie Eventualbegründung der Rekurrentin, wonach sie aufgrund ihrer gesundheitlichen Situation die Voraussetzungen zur Erteilung einer Härtefallbewilligung weiterhin erfülle.</w:t>
      </w:r>
    </w:p>
    <w:p>
      <w:r>
        <w:t>Die Beurteilung, ob ein schwerwiegender persönlicher Härtefall vorliegt, erfolgt nach Art. 31 Abs. 1 VZAE anhand einer Vielzahl von Kriterien. Dazu gehören mit Bezug auf die Situation der Rekurrentin ihre Integration in der Schweiz (lit. a), die Respektierung der Rechtsordnung (lit. b), ihre Familienverhältnisse (lit. c), ihre finanziellen Verhältnisse sowie ihr Wille zur Teilhabe am Wirtschaftsleben und zum Erwerb von Bildung (lit. d), die Dauer ihrer Anwesenheit in der Schweiz (lit. e), ihr Gesundheitszustand (lit. f) sowie die Möglichkeiten für eine Wiedereingliederung im Herkunftsstaat (lit. g). Art. 30 Abs. 1 lit. b AIG kommt dabei Ausnahmecharakter zu und die Voraussetzungen zur Anerkennung eines Härtefalls sind restriktiv zu handhaben. Die betroffene Person muss sich in einer persönlichen Notlage befinden. Das bedeutet, dass ihre Lebens- und Existenzbedingungen, gemessen am durchschnittlichen Schicksal von ausländischen Personen, in gesteigertem Masse in Frage gestellt sein müssen beziehungsweise die Verweigerung einer Abweichung von den Zulassungsvoraussetzungen für sie mit schweren Nachteilen verbunden wäre. Bei der Beurteilung eines Härtefallesmüssen sämtliche Umstände des jeweiligen Einzelfalles berücksichtigt werden. Eine lang dauernde Anwesenheit und eine gute soziale und berufliche Integration sowie klagloses Verhalten reichen für sich alleine nicht aus, um einen schwerwiegenden persönlichen Härtefall zu begründen. Vielmehr wird vorausgesetzt, dass die ausländische Person so enge Beziehungen zur Schweiz unterhält, dass von ihr nicht verlangt werden kann, in einem anderen Land, insbesondere in ihrem Heimatstaat, zu leben. Im Zusammenhang mit dem schwerwiegenden persönlichen Härtefall sind ausschliesslich humanitäre Gesichtspunkte ausschlaggebend, wobei der Schwerpunkt auf der Verankerung in der Schweiz liegt. Im Rahmen einer Gesamtschau sind jedoch auch der Gesundheitszustand einer Person und die Möglichkeiten einer Wiedereingliederung im Herkunftsland mitzuberücksichtigen. Diese Prüfung kann nicht losgelöst von den persönlichen, familiären und ökonomischen Schwierigkeiten erfolgen, denen eine ausländische Person in ihrem Heimatstaat ausgesetzt wäre (BVGer C-188/2014 vom 15. März 2016 E. 5.4; VGE VD.2023.26 vom 5. August 2023 E. 3.1, VD.2019.14/15 vom 22. Januar 2020 E. 2.2, VD.2018.20 vom 19. März 2018 E. 4.2.3 und VD.2017.88 vom 27. September 2017 E. 5.1).</w:t>
      </w:r>
    </w:p>
    <w:p>
      <w:r>
        <w:t>4.2Als freizügigkeitsrechtliche Arbeitnehmerin gilt, wer während einer bestimmten Zeit Leistungen für eine andere Person nach deren Weisungen erbringt und als Gegenleistung hierfür eine Vergütung erhält (BGer 2C_168/2021 vom 23. November 2021 E. 4.2, 2C_617/2019 vom 6. Februar 2020 E. 3.2; VGE VD.2022.211 vom 24. April 2023 E. 2.3). Für die Erfüllung des freizügigkeitsrechtlichen Arbeitnehmerbegriffs kommt es grundsätzlich weder auf den zeitlichen Umfang der Aktivität noch auf die Höhe des Lohnes oder die Produktivität der betroffenen Person an (BGE 141 II 1 E. 2.2.4; BGer 2C_626/2021 vom 2. November 2021 E. 5.2; VGE VD.2022.211 vom 24. April 2023 E. 2.3). Der blosse Umstand, dass ein Arbeitsverhältnis von kurzer Dauer und befristet ist und es sich um eine Teilzeitstelle handelt, schliesst dieArbeitnehmereigenschaftnicht per se aus (BGer 2C_617/2019 vom 6. Februar 2020 E. 4.3; VGE VD.2022.211 vom 24. April 2023 E. 2.3). Das gleiche gilt für den Umstand allein, dass die erwirtschafteten Einkünfte das Existenzminimum der betreffenden Person nicht decken (VGE VD.2022.211 vom 24. April 2023 E. 2.3; vgl. BGer 2C_940/2019 vom 8. Juni 2020 E. 4.2, 2C_617/2019 vom 6. Februar 2020 E. 4.3). Erforderlich ist jedoch quantitativ wie qualitativ eine echte und tatsächliche wirtschaftliche Tätigkeit. Die Beurteilung, ob eine solche besteht, muss sich auf objektive Kriterien stützen und  in einer Gesamtbewertung  allen Umständen Rechnung tragen, welche die Art der Tätigkeit und des fraglichen Arbeitsverhältnisses betreffen. Dabei ist auch zu berücksichtigen, ob die erbrachten Leistungen auf dem allgemeinen Beschäftigungsmarkt als üblich gelten können (BGE 141 II 1 E. 2.4; BGer 2C_626/2021 vom 2. November 2021 E. 5.2; VGE VD.2022.211 vom 24. April 2023 E. 2.3).</w:t>
      </w:r>
    </w:p>
    <w:p>
      <w:r>
        <w:t>://:        Der Rekurs wird abgewiesen.</w:t>
      </w:r>
    </w:p>
    <w:p>
      <w:r>
        <w:t>Auf die Erhebung von Gerichtskosten für das verwaltungsgerichtliche Rekursverfahren wird verzichtet.</w:t>
      </w:r>
    </w:p>
    <w:p>
      <w:r>
        <w:t>Mitteilung an:</w:t>
      </w:r>
    </w:p>
    <w:p>
      <w:r>
        <w:t>APPELLATIONSGERICHT BASEL-STADT</w:t>
      </w:r>
    </w:p>
    <w:p>
      <w:r>
        <w:t>Die Gerichtsschreiberin</w:t>
      </w:r>
    </w:p>
    <w:p>
      <w:r>
        <w:t>MLaw Marion Wüthrich</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