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VD.2024.178 vom 9. Dezember 2024</w:t>
      </w:r>
    </w:p>
    <w:p>
      <w:r>
        <w:t>BS Appellationsgericht, 2024-12-09, DE</w:t>
      </w:r>
    </w:p>
    <w:p>
      <w:r>
        <w:rPr>
          <w:b/>
        </w:rPr>
        <w:t xml:space="preserve">Quelle: </w:t>
      </w:r>
      <w:r>
        <w:t>https://mcp.opencaselaw.ch/entscheid/bs_appellationsgericht_VD.2024.178</w:t>
      </w:r>
    </w:p>
    <w:p>
      <w:r>
        <w:t>FR: BS_APPELLATIONSGERICHT VD.2024.178 du 9 décembre 2024</w:t>
      </w:r>
    </w:p>
    <w:p>
      <w:r>
        <w:t>IT: BS_APPELLATIONSGERICHT VD.2024.178 del 9 dicembre 2024</w:t>
      </w:r>
    </w:p>
    <w:p>
      <w:pPr>
        <w:pStyle w:val="Heading2"/>
      </w:pPr>
      <w:r>
        <w:t>Volltext</w:t>
      </w:r>
    </w:p>
    <w:p>
      <w:r>
        <w:t>Appellationsgericht</w:t>
      </w:r>
    </w:p>
    <w:p>
      <w:r>
        <w:t>des Kantons Basel-Stadt</w:t>
      </w:r>
    </w:p>
    <w:p>
      <w:r>
        <w:t>als Verwaltungsgericht</w:t>
      </w:r>
    </w:p>
    <w:p>
      <w:r>
        <w:t>Dreiergericht</w:t>
      </w:r>
    </w:p>
    <w:p>
      <w:r>
        <w:t>VD.2024.178</w:t>
      </w:r>
    </w:p>
    <w:p>
      <w:r>
        <w:t>URTEIL</w:t>
      </w:r>
    </w:p>
    <w:p>
      <w:r>
        <w:t>vom 9. Dezember 2024</w:t>
      </w:r>
    </w:p>
    <w:p>
      <w:r>
        <w:t>Mitwirkende</w:t>
      </w:r>
    </w:p>
    <w:p>
      <w:r>
        <w:t>Dr. Stephan Wullschleger, lic. iur. André Equey, MLaw Manuel Kreis</w:t>
      </w:r>
    </w:p>
    <w:p>
      <w:r>
        <w:t>und a.o. Gerichtsschreiber Dr. Raphael Dummermuth</w:t>
      </w:r>
    </w:p>
    <w:p>
      <w:r>
        <w:t>Beteiligte</w:t>
      </w:r>
    </w:p>
    <w:p>
      <w:r>
        <w:t>A____Rekurrentin</w:t>
      </w:r>
    </w:p>
    <w:p>
      <w:r>
        <w:t>Wohnort unbekannt,</w:t>
      </w:r>
    </w:p>
    <w:p>
      <w:r>
        <w:t>vertreten durch [], Advokat,</w:t>
      </w:r>
    </w:p>
    <w:p>
      <w:r>
        <w:t>[...]</w:t>
      </w:r>
    </w:p>
    <w:p>
      <w:r>
        <w:t>gegen</w:t>
      </w:r>
    </w:p>
    <w:p>
      <w:r>
        <w:t>Bereich Bevölkerungsdienste und Migration</w:t>
      </w:r>
    </w:p>
    <w:p>
      <w:r>
        <w:t>Migrationsamt</w:t>
      </w:r>
    </w:p>
    <w:p>
      <w:r>
        <w:t>Spiegelgasse 6, 4051 Basel</w:t>
      </w:r>
    </w:p>
    <w:p>
      <w:r>
        <w:t>Gegenstand</w:t>
      </w:r>
    </w:p>
    <w:p>
      <w:r>
        <w:t>Rekursgegen einen Entscheid des Justiz- und Sicherheitsdepartements</w:t>
      </w:r>
    </w:p>
    <w:p>
      <w:r>
        <w:t>vom 7. November 2024</w:t>
      </w:r>
    </w:p>
    <w:p>
      <w:r>
        <w:t>betreffend Wegweisung</w:t>
      </w:r>
    </w:p>
    <w:p>
      <w:r>
        <w:t>3.1.3Aus Art. 8 EMRK bzw. Art. 13 BV lässt sich zwar grundsätzlich kein Anspruch darauf ableiten, den Ausgang eines ausländerrechtlichen Bewilligungsverfahrens entgegen der Grundsatzregelung in Art. 17 Abs. 1 AIG im Inland abwarten zu dürfen (BGE 139 I 37 E. 3.5.1; BGer 2D_74/2015 vom 28. April 2016 E. 2.3, 2C_532/2015 vom 23. Dezember 2015 E. 2.3;VGEVD.2024.55 vom 10. Juli 2024 E. 4.3,VD.2022.236 vom 28. November 2022 E. 3.3.3,VD.2021.78 vom 21. Juni 2021 E. 2.2.2). Die Pflicht, nach Art. 17 Abs. 1 AIG den Bewilligungsentscheid im Ausland abwarten zu müssen, ist aber grundrechtskonform zu konkretisieren (BGE 139 I 37 E. 2.2 und 3.5.1; BGer 2D_74/2015 vom 28. April 2016 E. 2.3, 2C_532/2015 vom 23. Dezember 2015 E. 2.2 f.; VGE VD.2024.55 vom 10. Juli 2024 E. 4.3,VD.2022.236 vom 28. November 2022 E. 3.3.3,VD.2021.78 vom 21. Juni 2021 E. 2.2.2). Besteht zwischen einer ausländischen Person und einem Mitglied der Familie eine tatsächlich gelebte und intakte familiäre Beziehung, hat das Familienmitglied in der Schweiz ein gefestigtes Anwesenheitsrecht (Schweizer Bürgerrecht, Niederlassungsbewilligung, auf einem gefestigten Rechtsanspruch beruhende Aufenthaltsbewilligung) und ist es ihm nicht möglich und von vornherein ohne Weiteres zumutbar, das Familienleben mit der ausländischen Person im Ausland zu führen, so stellt es einen Eingriff in das in Art. 8 Ziff. 1 EMRK und Art. 13 Abs. 1 BV garantierte Recht auf Achtung des Familienlebens dar, wenn der ausländischen Person der Aufenthalt in der Schweiz untersagt wird (VGE VD.2024.55 vom 10. Juli 2024 E. 4.3,VD.2022.236 vom 28. November 2022 E. 3.3.3,VD.2021.78 vom 21. Juni 2021 E. 2.2.2; vgl. BGE 142 II 35 E. 6.1, 135 I 153 E. 2.1, 135 I 143 E. 1.3.1). Unter diesen Voraussetzungen ist die Pflicht, den Bewilligungsentscheid gemäss Art. 17 Abs. 1 AIG im Ausland abzuwarten, als Eingriff in das Recht auf Achtung des Familienlebens zu qualifizieren. Eine Einschränkung des Rechts auf Achtung des Familienlebens ist gemäss Art. 8 Ziff. 2 EMRK und Art. 36 BV zulässig, wenn sie auf einer gesetzlichen Grundlage beruht, in einem der in Art. 8 Ziff. 2 EMRK abschliessend genannten öffentlichen Interessen liegt und verhältnismässig ist (VGE VD.2024.55 vom 10. Juli 2024 E. 4.3,VD.2022.236 vom 28. November 2022 E. 3.3.3,VD.2021.78 vom 21. Juni 2021 E. 2.2.2; vgl. BGE 142 II 35 E. 6.1, 135 I 153 E. 2.2.1, 135 I 143 E. 2.1).Diesen Voraussetzungen wird durch eine grundrechtskonforme Anwendung des Grundsatzes, dass der Bewilligungsentscheid im Ausland abzuwarten ist, Rechnung getragen (VGEVD.2024.55 vom 10. Juli 2024 E. 4.3,VD.2022.236 vom 28. November 2022 E. 3.3.3,VD.2021.78 vom 21. Juni 2021 E. 2.2.2; vgl. BGE 139 I 37 E. 2.2; BGer 2D_74/2015 vom 28. April 2016 E. 2.2). Demnach sind im Anwendungsbereich von Art. 8 EMRK bzw. Art. 13 BV die Zulassungsvoraussetzungen bereits dann als offensichtlich erfüllt zu betrachten und der betroffenen Person der prozedurale Aufenthalt in Anwendung von Art. 17 Abs. 2 AIG zu gestatten, wenn die Chancen, dass die Bewilligung zu erteilen sein wird, deutlich höher einzustufen sind als jene, dass sie zu verweigern sein wird (VGEVD.2024.55 vom 10. Juli 2024 E. 4.3,VD.2022.236 vom 28. November 2022 E. 3.3.3,VD.2021.78 vom 21. Juni 2021 E. 2.2.2; vgl. BGE 139 I 37 E. 4.1; BGer 2D_74/2015 vom 28. April 2016 E. 2.2, 2C_1001/2013 vom 4. Februar 2014 E. 2.2.3). Wenn die Chancen der Bewilligungserteilung hingegen nicht deutlich höher sind als diejenigen der Bewilligungsverweigerung, überwiegt das öffentliche Interesse an der Einwanderungskontrolle grundsätzlich die privaten Interessen, die Beziehung bis zum Bewilligungsentscheid leben zu können (VGEVD.2024.55 vom 10. Juli 2024 E. 4.3,VD.2022.236 vom 28. November 2022 E. 3.3.3,VD.2019.201 vom 9. Dezember 2019 E. 2.2.3; vgl. BGE 139 I 37 E. 3.5.1). In diesem Fall stellt die Pflicht, den Bewilligungsentscheid im Ausland abwarten zu müssen, eine auf einer gesetzlichen Grundlage beruhende, im öffentlichen Interesse liegende sowie verhältnismässige und damit zulässige Einschränkung des Rechts auf Achtung des Familienlebens dar (VGEVD.2024.55 vom 10. Juli 2024 E. 4.3,VD.2022.236 vom 28. November 2022 E. 3.3.3,VD.2019.201 vom 9. Dezember 2019 E. 2.2.3).</w:t>
      </w:r>
    </w:p>
    <w:p>
      <w:r>
        <w:t>://:        Der Rekurs wird abgewiesen, soweit darauf eingetreten wird.</w:t>
      </w:r>
    </w:p>
    <w:p>
      <w:r>
        <w:t>Die Rekurrentin hat die Schweiz, den Schengen-Raum und die Europäische Union innert sieben Tagen ab der Zustellung des vorliegenden Urteils zu verlassen. Sollte allerdings die Rekurrentin gegen das vorliegende Urteil Beschwerde an das Bundesgericht erheben und dieses dem Rechtsmittel aufschiebende Wirkung verleihen, so hat die Rekurrentin die Schweiz, den Schengen-Raum und die Europäische Union innert sieben Tagen ab der Zustellung eines die Wegweisung nicht ändernden Endentscheids des Bundesgerichts zu verlassen.</w:t>
      </w:r>
    </w:p>
    <w:p>
      <w:r>
        <w:t>Die Rekurrentin trägt die Gerichtskosten des verwaltungsgerichtlichen Rekursverfahrens mit einer Gebühr von CHF 500.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