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VD.2024.12 vom 15. Mai 2024</w:t>
      </w:r>
    </w:p>
    <w:p>
      <w:r>
        <w:t>BS Appellationsgericht, 2024-05-15, DE</w:t>
      </w:r>
    </w:p>
    <w:p>
      <w:r>
        <w:rPr>
          <w:b/>
        </w:rPr>
        <w:t xml:space="preserve">Quelle: </w:t>
      </w:r>
      <w:r>
        <w:t>https://mcp.opencaselaw.ch/entscheid/bs_appellationsgericht_VD.2024.12</w:t>
      </w:r>
    </w:p>
    <w:p>
      <w:r>
        <w:t>FR: BS_APPELLATIONSGERICHT VD.2024.12 du 15 mai 2024</w:t>
      </w:r>
    </w:p>
    <w:p>
      <w:r>
        <w:t>IT: BS_APPELLATIONSGERICHT VD.2024.12 del 15 maggio 2024</w:t>
      </w:r>
    </w:p>
    <w:p>
      <w:pPr>
        <w:pStyle w:val="Heading2"/>
      </w:pPr>
      <w:r>
        <w:t>Erwägungen</w:t>
      </w:r>
    </w:p>
    <w:p>
      <w:r>
        <w:rPr>
          <w:b/>
        </w:rPr>
        <w:t>E. 2</w:t>
      </w:r>
    </w:p>
    <w:p>
      <w:r>
        <w:t>Mangels freizügigkeitsrechtlicher Arbeitnehmereigenschaft hat die Rekurrentin keinen Anspruch auf Verlängerung ihrer Aufenthaltsbewilligung gestützt auf Art. 6 Abs. 1 Anhang I des Abkommens zwischen der Schweizerischen Eidgenossenschaft einerseits und der Europäischen Gemeinschaft sowie ihren Mitgliedstaaten andererseits über die Freizügigkeit vom 21. Juni 1999 (FZA, SR 0.142.112.681). Dies bestreitet sie nicht.</w:t>
      </w:r>
    </w:p>
    <w:p>
      <w:r>
        <w:t>APPELLATIONSGERICHT BASEL-STADT</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