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VD.2023.59 vom 9. November 2023</w:t>
      </w:r>
    </w:p>
    <w:p>
      <w:r>
        <w:t>BS Appellationsgericht, 2023-11-09, DE</w:t>
      </w:r>
    </w:p>
    <w:p>
      <w:r>
        <w:rPr>
          <w:b/>
        </w:rPr>
        <w:t xml:space="preserve">Quelle: </w:t>
      </w:r>
      <w:r>
        <w:t>https://mcp.opencaselaw.ch/entscheid/bs_appellationsgericht_VD.2023.59</w:t>
      </w:r>
    </w:p>
    <w:p>
      <w:r>
        <w:t>FR: BS_APPELLATIONSGERICHT VD.2023.59 du 9 novembre 2023</w:t>
      </w:r>
    </w:p>
    <w:p>
      <w:r>
        <w:t>IT: BS_APPELLATIONSGERICHT VD.2023.59 del 9 novembre 2023</w:t>
      </w:r>
    </w:p>
    <w:p>
      <w:pPr>
        <w:pStyle w:val="Heading2"/>
      </w:pPr>
      <w:r>
        <w:t>Erwägungen</w:t>
      </w:r>
    </w:p>
    <w:p>
      <w:r>
        <w:rPr>
          <w:b/>
        </w:rPr>
        <w:t>E. 1</w:t>
      </w:r>
    </w:p>
    <w:p>
      <w:r>
        <w:t>1.4Gemäss § 16 Abs. 2 VRPG hat die Rekursbegründung Anträge, Angaben der Tatsachen und Beweismittel sowie kurze Rechtserörterungen zu enthalten (VGE VD.2019.78 vom 27. Mai 2020 E. 1.3, VD.2018.129 vom 5. November 2018 E. 2.1, VD.2017.253 vom 18. Juni 2018 E. 1.2.2;Stamm, Die Verwaltungsgerichtsbarkeit, in: Buser [Hrsg.], Neues Handbuch des Staats- und Verwaltungsrechts des Kantons Basel-Stadt, Basel 2008, S. 477, 505). In der Begründung ist substanziiert darzulegen, inwiefern und weshalb die angefochtene Verfügung fehlerhaft sein und antragsgemäss aufgehoben oder abgeändert werden soll. Dazu hat sich die Rekurrentin mit den Erwägungen der Vorinstanz genau auseinanderzusetzen. Die Begründung muss somit nicht nur substanziiert, sondern auch sachbezogen sein (VGE VD.2020.265 vom 26. November 2021 E. 4.2.1, VD.2019.78 vom 27. Mai 2020 E. 1.3, VD.2018.129 vom 5. November 2018 E. 2.1; vgl.Stamm, a.a.O., S. 477, 504;Wullschleger/Schröder, Praktische Fragen des Verwaltungsprozesses im Kanton Basel-Stadt, in: BJM 2005 S. 277, 305). Im Übrigen gilt im Verwaltungsgerichtsverfahren das Rügeprinzip (VGE VD.2019.78 vom 27. Mai 2020 E. 1.3, VD.2018.129 vom 5. November 2018 E. 2.1, VD.2017.17 vom 18. Mai 2017 E. 3.1.1;Stamm, a.a.O., S. 477, 504). Das Verwaltungsgericht prüft einen angefochtenen Entscheid gestützt auf die Begründungsobliegenheit gemäss § 16 Abs. 2 VRPG nicht von sich aus unter allen in Frage kommenden Aspekten, sondern untersucht nur die rechtzeitig vorgebrachten konkreten Beanstandungen (VGE VD.2019.78 vom 27. Mai 2020 E. 1.3, VD.2018.129 vom 5. November 2018 E. 2.1, VD.2017.17 vom 18. Mai 2017 E. 3.1.1;Wullschleger/Schröder, a.a.O., S. 277, 305).</w:t>
      </w:r>
    </w:p>
    <w:p>
      <w:r>
        <w:rPr>
          <w:b/>
        </w:rPr>
        <w:t>E. 2</w:t>
      </w:r>
    </w:p>
    <w:p>
      <w:r>
        <w:t>2.1Die Rekurrentin moniert, der angefochtene Entscheid verletze ihr rechtliches Gehör. Konkret fehle es an einer rechtlichen Auseinandersetzung mit den Rügen der Rekurrentin. Das Vorgehen der Juristischen Fakultät bei der Anrechnung von Prüfungsleistungen sei willkürlich, verletze das Gleichbehandlungs- respektive Differenzierungsgebot und sei unverhältnismässig (Rekursbegründung vom 16. Juni 2023, act. 6, Rz.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