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VD.2023.2 vom 16. März 2023</w:t>
      </w:r>
    </w:p>
    <w:p>
      <w:r>
        <w:t>BS Appellationsgericht, 2023-03-16, DE</w:t>
      </w:r>
    </w:p>
    <w:p>
      <w:r>
        <w:rPr>
          <w:b/>
        </w:rPr>
        <w:t xml:space="preserve">Quelle: </w:t>
      </w:r>
      <w:r>
        <w:t>https://mcp.opencaselaw.ch/entscheid/bs_appellationsgericht_VD.2023.2</w:t>
      </w:r>
    </w:p>
    <w:p>
      <w:r>
        <w:t>FR: BS_APPELLATIONSGERICHT VD.2023.2 du 16 mars 2023</w:t>
      </w:r>
    </w:p>
    <w:p>
      <w:r>
        <w:t>IT: BS_APPELLATIONSGERICHT VD.2023.2 del 16 marzo 2023</w:t>
      </w:r>
    </w:p>
    <w:p>
      <w:pPr>
        <w:pStyle w:val="Heading2"/>
      </w:pPr>
      <w:r>
        <w:t>Erwägungen</w:t>
      </w:r>
    </w:p>
    <w:p>
      <w:r>
        <w:rPr>
          <w:b/>
        </w:rPr>
        <w:t>E. 1</w:t>
      </w:r>
    </w:p>
    <w:p>
      <w:r>
        <w:t>1.1Die Zuständigkeit des Verwaltungsgerichts zur Beurteilung des vorliegenden Rekurses folgt aus dem Überweisungsbeschluss des Regierungspräsidenten vom 5. Januar 2023 sowie § 42 des Organisationsgesetzes (OG, SG 153.100) in Verbindung mit § 12 des Gesetzes über die Verfassungs- und Verwaltungsrechtspflege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nicht befugt, über die Angemessenheit des angefochtenen Entscheids zu entscheiden.</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