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VD.2023.147 vom 3. Mai 2024</w:t>
      </w:r>
    </w:p>
    <w:p>
      <w:r>
        <w:t>BS Appellationsgericht, 2024-05-03, DE</w:t>
      </w:r>
    </w:p>
    <w:p>
      <w:r>
        <w:rPr>
          <w:b/>
        </w:rPr>
        <w:t xml:space="preserve">Quelle: </w:t>
      </w:r>
      <w:r>
        <w:t>https://mcp.opencaselaw.ch/entscheid/bs_appellationsgericht_VD.2023.147</w:t>
      </w:r>
    </w:p>
    <w:p>
      <w:r>
        <w:t>FR: BS_APPELLATIONSGERICHT VD.2023.147 du 3 mai 2024</w:t>
      </w:r>
    </w:p>
    <w:p>
      <w:r>
        <w:t>IT: BS_APPELLATIONSGERICHT VD.2023.147 del 3 maggio 2024</w:t>
      </w:r>
    </w:p>
    <w:p>
      <w:pPr>
        <w:pStyle w:val="Heading2"/>
      </w:pPr>
      <w:r>
        <w:t>Volltext</w:t>
      </w:r>
    </w:p>
    <w:p>
      <w:r>
        <w:t>Appellationsgericht</w:t>
      </w:r>
    </w:p>
    <w:p>
      <w:r>
        <w:t>des Kantons Basel-Stadt</w:t>
      </w:r>
    </w:p>
    <w:p>
      <w:r>
        <w:t>als Verwaltungsgericht</w:t>
      </w:r>
    </w:p>
    <w:p>
      <w:r>
        <w:t>Dreiergericht</w:t>
      </w:r>
    </w:p>
    <w:p>
      <w:r>
        <w:t>VD.2023.147</w:t>
      </w:r>
    </w:p>
    <w:p>
      <w:r>
        <w:t>URTEIL</w:t>
      </w:r>
    </w:p>
    <w:p>
      <w:r>
        <w:t>vom 3. Mai 2024</w:t>
      </w:r>
    </w:p>
    <w:p>
      <w:r>
        <w:t>Mitwirkende</w:t>
      </w:r>
    </w:p>
    <w:p>
      <w:r>
        <w:t>Dr. Stephan Wullschleger,lic. iur. André Equey, Dr. Andreas Traub</w:t>
      </w:r>
    </w:p>
    <w:p>
      <w:r>
        <w:t>und Gerichtsschreiber Dr. Alexander Zürcher</w:t>
      </w:r>
    </w:p>
    <w:p>
      <w:r>
        <w:t>Beteiligte</w:t>
      </w:r>
    </w:p>
    <w:p>
      <w:r>
        <w:t>A____Rekurrent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3. Juli 2023</w:t>
      </w:r>
    </w:p>
    <w:p>
      <w:r>
        <w:t>betreffend Nichtverlängerung der Aufenthaltsbewilligung und</w:t>
      </w:r>
    </w:p>
    <w:p>
      <w:r>
        <w:t>Wegweisung</w:t>
      </w:r>
    </w:p>
    <w:p>
      <w:r>
        <w:t>3.4</w:t>
      </w:r>
    </w:p>
    <w:p>
      <w:r>
        <w:t>3.4.1Liegen Gründe zur Nichtverlängerung einer Aufenthaltsbewilligung vor, so ist zu prüfen, ob sich die Nichtverlängerung als verhältnismässig erweist (Art. 5 Abs. 2 BV; Art. 96 AIG;Zünd/Brunner, Beendigung der Anwesenheit, Entfernung und Fernhaltung, in: Uebersax et al. [Hrsg.], Ausländerrecht, 3. Auflage, Basel 2022, N 10.91 f. und 10.109; BGE 135 II 377 E. 4.3; VGE VD.2019.208 vom 9. Juni 2020 E. 3.1). Damit ist nach Art. 96 AIG zu prüfen, ob die Nichtverlängerung der Aufenthaltsbewilligung des Rekurrenten sowie seine damit verbundene Wegweisung aus der Schweiz verhältnismässig sind. Bei dieser Prüfung sind die öffentlichen und privaten Interessen sorgfältig gegeneinander abzuwägen (VGE VD.2015.240 vom 19. September 2016 E. 4.1). Ins Gewicht fallen bei der Interessenabwägung insbesondere auch der Grad der Integration und die Nachteile, welche der von der Nichtverlängerung der Aufenthaltsbewilligung betroffenen Person und ihrer Familie dadurch entstehen, dass sie in ihren Heimatstaat zurückkehren müssen (BGer 2C_1030/2020 vom 8. Dezember 2021 E. 5.4 und 2C_120/2015 vom 2. Februar 2016 E. 3.2). Allgemein gebietet der Grundsatz der Verhältnismässigkeit, dass die Aufenthaltsbeendigung im öffentlichen Interesse geeignet, erforderlich und zumutbar erscheint, das heisst, es muss ein sachgerechtes Verhältnis von Mittel und Zweck bestehen (BGer 2C_458/2019 vom 27. September 2019 E. 4.3 mit Hinweisen).</w:t>
      </w:r>
    </w:p>
    <w:p>
      <w:r>
        <w:t>3.4.2Das Kindesinteresse ist bei allen Entscheiden eindringlich zu berücksichtigen (vgl. Art. 3 Abs. 1 KRK und oben E. 3.3.1) und in der Interessenabwägung ein wesentliches Element unter anderen (wie das wirtschaftliche Wohl des Landes, die Aufrechterhaltung der Ordnung, die Verhütung von Straftaten, der Schutz der Gesundheit oder Moral bzw. der Rechte und Freiheiten anderer) (BGer 2C_904/2018 vom 24. April 2019 E. 2.4). Zwar ist keines dieser Elemente für sich allein ausschlaggebend und eine Würdigung der gesamten Umstände im Einzelfall erforderlich (BGer 2C_998/2020 vom 3. Juni 2021 E. 3.4, 2C_410/2018 vom 7. September 2018 E. 4.2 und 2C_846/2014 vom 16. Dezember 2014 E. 2.4 mit Hinweisen). Allerdings müssen die Gerichte nach der Rechtsprechung des Europäischen Gerichtshofs für Menschenrechte gestützt auf die UNO-Kinderrechtskonvention das Kindeswohl in den Mittelpunkt ihrer Erwägungen stellen (Urteil des EGMREl Ghatet gegen die Schweizvom 8. November 2016, [Nr. 56971/10], §§ 27 f. und 46).</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