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VD.2023.129 vom 6. April 2024</w:t>
      </w:r>
    </w:p>
    <w:p>
      <w:r>
        <w:t>BS Appellationsgericht, 2024-04-06, DE</w:t>
      </w:r>
    </w:p>
    <w:p>
      <w:r>
        <w:rPr>
          <w:b/>
        </w:rPr>
        <w:t xml:space="preserve">Quelle: </w:t>
      </w:r>
      <w:r>
        <w:t>https://mcp.opencaselaw.ch/entscheid/bs_appellationsgericht_VD.2023.129</w:t>
      </w:r>
    </w:p>
    <w:p>
      <w:r>
        <w:t>FR: BS_APPELLATIONSGERICHT VD.2023.129 du 6 avril 2024</w:t>
      </w:r>
    </w:p>
    <w:p>
      <w:r>
        <w:t>IT: BS_APPELLATIONSGERICHT VD.2023.129 del 6 aprile 2024</w:t>
      </w:r>
    </w:p>
    <w:p>
      <w:pPr>
        <w:pStyle w:val="Heading2"/>
      </w:pPr>
      <w:r>
        <w:t>Volltext</w:t>
      </w:r>
    </w:p>
    <w:p>
      <w:r>
        <w:t>Appellationsgericht</w:t>
      </w:r>
    </w:p>
    <w:p>
      <w:r>
        <w:t>des Kantons Basel-Stadt</w:t>
      </w:r>
    </w:p>
    <w:p>
      <w:r>
        <w:t>als Verwaltungsgericht</w:t>
      </w:r>
    </w:p>
    <w:p>
      <w:r>
        <w:t>Dreiergericht</w:t>
      </w:r>
    </w:p>
    <w:p>
      <w:r>
        <w:t>VD.2023.129</w:t>
      </w:r>
    </w:p>
    <w:p>
      <w:r>
        <w:t>URTEIL</w:t>
      </w:r>
    </w:p>
    <w:p>
      <w:r>
        <w:t>vom 6. April 2024</w:t>
      </w:r>
    </w:p>
    <w:p>
      <w:r>
        <w:t>Mitwirkende</w:t>
      </w:r>
    </w:p>
    <w:p>
      <w:r>
        <w:t>Dr. Stephan Wullschleger, lic. iur. André Equey, Dr. Christoph A. Spenlé</w:t>
      </w:r>
    </w:p>
    <w:p>
      <w:r>
        <w:t>und Gerichtsschreiberin MLaw Marion Wüthrich</w:t>
      </w:r>
    </w:p>
    <w:p>
      <w:r>
        <w:t>Beteiligte</w:t>
      </w:r>
    </w:p>
    <w:p>
      <w:r>
        <w:t>A____Rekurrent</w:t>
      </w:r>
    </w:p>
    <w:p>
      <w:r>
        <w:t>c/o [...]</w:t>
      </w:r>
    </w:p>
    <w:p>
      <w:r>
        <w:t>vertreten durch [...], Advokat,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26. Mai 2023</w:t>
      </w:r>
    </w:p>
    <w:p>
      <w:r>
        <w:t>betreffend Nichtverlängerung der Aufenthaltsbewilligung und Wegweisung</w:t>
      </w:r>
    </w:p>
    <w:p>
      <w:r>
        <w:t>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1.2).Art. 110 des Bundesgerichtsgesetzes (BGG, SR 173.110) schreibt den Kantonen in Konkretisierung der Rechtsweggarantie gemäss Art. 29a BV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VD.2022.183 vom 25. Mai 2023 E. 1.4.1, VD.2022.211 vom 24. April 2023 E. 1.2, VD.2021.269 vom 9. August 2022 E. 1.4).</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VD.2016.66 vom 20. Juni 2016 E. 1.3).</w:t>
      </w:r>
    </w:p>
    <w:p>
      <w:r>
        <w:t>Schliesslich beruft sich der Rekurrent zur Begründung eines Aufenthaltsanspruchs auf den Schutz seines Privat- und Familienlebens gemäss Art. 13 Abs. 1 der Bundesverfassung (BV, SR 101).</w:t>
      </w:r>
    </w:p>
    <w:p>
      <w:r>
        <w:t>4.1Der inArt. 13 Abs. 1 BVgarantierte Anspruch auf Achtung des Privat- und Familienlebens entspricht materiell der Garantie vonArt. 8der Europäischen Menschenrechtskonvention (EMRK, SR 0.101)(BGE 126 II 377 E. 7, mit Hinweis auf BBl 1997 I 152 ff. sowie AB 1998 [Separatdruck] S 41, Votum Inderkum, Berichterstatter, zu Art. 11).Das in Art. 8 EMRK beziehungsweise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und 137 I 247 E. 4.1.2; BGer 2C_147/2015 vom 22. März 2016 E. 2.2.1; VGE VD.2022.3 vom 28. August 2022 E. 7.1.1,VD.2021.262 vom 14. Mai 2022 E. 3.3.3.2, VD.2019.214 vom 23. Mai 2020 E. 2.2.2, VD.2016.169 vom 23. Juli 2017 E. 2.3.1 mit Hinweisen). Der Schutz des Familienlebens im Sinne von Art. 8 Ziff. 1 EMRK bezieht sich in erster Linie auf die sogenannte Kernfamilie, also die Gemeinschaft der Ehegatten mit ihren minderjährigen Kindern, und nur ausnahmsweise auf andere familiäre Beziehungen (BGE 144 I 266 E. 3.3, 144 I E. 6.1135 I 143 E. 1.3.2; VGE VD.2022.3 vom 28. August 2022 E. 7.1.1, VD.2017.105 vom 18. Januar 2018 E. 4.1, VD.2017.88 vom 27. September 2017 E. 3.2.2, VD.2017.57 vom 2. Mai 2017 E. 3.5.1). Der Rekurrent hat keine Kinder. Als familiäre Beziehung beruft sich der Rekurrent allein auf seine Beziehung zu seiner in der Schweiz «ansässigen» neuen Lebenspartnerin (Rekursbegründung E. 8; Rekursbegründung im Vorinstanzlichen Verfahren vom 2. Juni 2022 E. 5, Akten JSD S. 25).</w:t>
      </w:r>
    </w:p>
    <w:p>
      <w:r>
        <w:t>6.1Prozessiert eine Partei aufgrund ihrer prozessualen Bedürftigkeit unentgeltlich, so steht der Anspruch auf das Honorar ihres unentgeltlichen Rechtsbeistands nicht ihr selber, sondern ihrem Vertreter zu. Die unentgeltlich prozessierende Partei wird durch die Kürzung des Honorars selber nicht beschwert, weil der Vertreter den aufgrund der Kürzung des Honorars nicht entschädigten Teil seines Aufwands ihr gegenüber grundsätzlich nicht geltend machen darf. Daraus folgt, dass eine Kürzung des Honorars des unentgeltlichen Rechtsbeistands nicht mit dem im Namen der vertretenen Partei erhobenen Rekurs, sondern allein vom Vertreter im eigenen Namen angefochten werden kann. Dies ist vorliegend nicht geschehen, wird der Rekurs doch allein im Namen des in der Sache rekurrierenden Mandanten des Vertreters erhoben. Vorliegend kann aber auf den Antrag gleichwohl eingetreten werden. Massgebend erscheint dabei, dass das Honorar des unentgeltlichen Vertreters mit dem angefochtenen Entscheid nicht einfach gekürzt worden ist. Vielmehr wurde dem Rekurrenten die unentgeltliche Rechtspflege erst mit Wirkung ab dem Zeitpunkt der Gesuchstellung bewilligt. Daraus folgt, dass der Vertreter seinen davor betriebenen Aufwand gegenüber dem damals noch nicht unentgeltlich prozessierenden Mandanten geltend machen könnte. Daher ist der Rekurrent in der vorliegenden Konstellation auch durch die Kürzung des Honorars seines unentgeltlichen Rechtsbeistands beschwert, weshalb auch in seinem Namen das volle Honorar im vorinstanzlichen Verfahren geltend gemacht werden kann.</w:t>
      </w:r>
    </w:p>
    <w:p>
      <w:r>
        <w:t>Mit Kostennote vom 19. Januar 2024 macht der Rechtsvertreter des Rekurrenten für das verwaltungsgerichtliche Rekursverfahren einen Zeitaufwand von 15.35 Stunden. Dieser ist angemessen. Multipliziert mit dem Stundenansatz für die unentgeltliche Rechtspflege von CHF 200. (§ 20 Abs. 2 des Reglements über das Honorar und die Entschädigung der berufsmässigen Vertretung im Gerichtsverfahren [Honorarreglement, HoR, SG 291.400]) ergibt sich ein Honorar von CHF 3'070.. Zusätzlich werden Auslagen von CHF 38.90 geltend gemacht. Da sich diese im Rahmen der Pauschale gemäss § 23 Abs. 1 HoR bewegen, sind sie ebenfalls zu berücksichtigen. Weiter sind für die Eingabe vom 19. Februar 2024 zusätzlich ein Zeitaufwand von 0.5 Stunden und Auslagen von CHF 5.80 zu berücksichtigen (vgl. act. 14 und 15). Insgesamt ist dem Rechtsbeistand des Rekurrenten daher aus der Gerichtskasse eine Entschädigung von CHF 3'214.70, einschliesslich Auslagen und zuzüglich Mehrwertsteuerauszurichten.</w:t>
      </w:r>
    </w:p>
    <w:p>
      <w:r>
        <w:t>Mitteilung an:</w:t>
      </w:r>
    </w:p>
    <w:p>
      <w:r>
        <w:t>- Rekurrent</w:t>
      </w:r>
    </w:p>
    <w:p>
      <w:r>
        <w:t>- Justiz- und Sicherheitsdepartement Basel-Stadt</w:t>
      </w:r>
    </w:p>
    <w:p>
      <w:r>
        <w:t>- Regierungsrat des Kantons Basel-Stadt</w:t>
      </w:r>
    </w:p>
    <w:p>
      <w:r>
        <w:t>- Staatssekretariat für Migration (SEM)</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