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VD.2023.11 vom 6. September 2023</w:t>
      </w:r>
    </w:p>
    <w:p>
      <w:r>
        <w:t>BS Appellationsgericht, 2023-09-06, DE</w:t>
      </w:r>
    </w:p>
    <w:p>
      <w:r>
        <w:rPr>
          <w:b/>
        </w:rPr>
        <w:t xml:space="preserve">Quelle: </w:t>
      </w:r>
      <w:r>
        <w:t>https://mcp.opencaselaw.ch/entscheid/bs_appellationsgericht_VD.2023.11</w:t>
      </w:r>
    </w:p>
    <w:p>
      <w:r>
        <w:t>FR: BS_APPELLATIONSGERICHT VD.2023.11 du 6 septembre 2023</w:t>
      </w:r>
    </w:p>
    <w:p>
      <w:r>
        <w:t>IT: BS_APPELLATIONSGERICHT VD.2023.11 del 6 settembre 2023</w:t>
      </w:r>
    </w:p>
    <w:p>
      <w:pPr>
        <w:pStyle w:val="Heading2"/>
      </w:pPr>
      <w:r>
        <w:t>Erwägungen</w:t>
      </w:r>
    </w:p>
    <w:p>
      <w:r>
        <w:rPr>
          <w:b/>
        </w:rPr>
        <w:t>E. 1</w:t>
      </w:r>
    </w:p>
    <w:p>
      <w:r>
        <w:t>1.1Die Zuständigkeit des Verwaltungsgerichts zur Beurteilung des vorliegenden Rekurses ergibt sich aus dem Überweisungsbeschluss des Regierungspräsidenten vom 2. Februar 2023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Die Rekurrentin ist als Adressatin des angefochtenen Entscheids von diesem unmittelbar berührt und hat ein schutzwürdiges Interesse an dessen Aufhebung oder Abänderung. Sie ist somit gemäss § 13 Abs. 1 VRPG zum Rekurs legitimiert. Der vorliegende Rekurs wurde den Voraussetzungen von § 16 Abs. 1 und Abs. 2 VRPG entsprechend rechtzeitig angemeldet und begründet. Auf den Rekurs ist einzutreten.</w:t>
      </w:r>
    </w:p>
    <w:p>
      <w:r>
        <w:t>1.2Die Kognition des Verwaltungsgerichts richtet sich nach der allgemeinen Vorschrift von § 8 VRPG. Demnach hat das Verwaltungsgericht zu prüfen, ob das JSD den Sachverhalt unrichtig festgestellt, wesentliche Form- oder Verfahrensvorschriften verletzt, öffentliches Recht nicht oder nicht richtig angewendet oder von dem ihm zustehenden Ermessen einen unzulässigen Gebrauch gemacht hat. Mangels einer entsprechenden gesetzlichen Vorschrift ist das Verwaltungsgericht im Ausländerrecht nicht befugt, über die Angemessenheit der angefochtenen Verfügung zu entscheiden und damit im Ergebnis sein eigenes Ermessen an Stelle desjenigen der zuständigen Verwaltungsbehörde zu setzen. Gemäss der Rechtsprechung des Bundesgerichts sind bei der Prüfung der materiellen Rechtmässigkeit eines ausländerrechtlichen Entscheids durch das kantonale Gericht die tatsächlichen Verhältnisse massgebend, wie sie im Zeitpunkt des entsprechenden Gerichtsentscheids herrschen (BGE 127 II 60 E. 1b; BGer 2C_42/2011 vom 23. August 2012 E. 5.3; VGE VD.2022.117 vom 10. November 2022 E. 1.2, VD.2019.75 vom 26. Juni 2019 E. 1.3). Noven sind deshalb in diesem Fall zulässig, obwohl das Verwaltungsgericht nach kantonalem Recht grundsätzlich bloss eine nachträgliche Verwaltungskontrolle ausübt (vgl. zum Ganzen VGE VD.2022.117 vom 10. November 2022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