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VD.2023.10 vom 24. Juli 2023</w:t>
      </w:r>
    </w:p>
    <w:p>
      <w:r>
        <w:t>BS Appellationsgericht, 2023-07-24, DE</w:t>
      </w:r>
    </w:p>
    <w:p>
      <w:r>
        <w:rPr>
          <w:b/>
        </w:rPr>
        <w:t xml:space="preserve">Quelle: </w:t>
      </w:r>
      <w:r>
        <w:t>https://mcp.opencaselaw.ch/entscheid/bs_appellationsgericht_VD.2023.10</w:t>
      </w:r>
    </w:p>
    <w:p>
      <w:r>
        <w:t>FR: BS_APPELLATIONSGERICHT VD.2023.10 du 24 juillet 2023</w:t>
      </w:r>
    </w:p>
    <w:p>
      <w:r>
        <w:t>IT: BS_APPELLATIONSGERICHT VD.2023.10 del 24 luglio 2023</w:t>
      </w:r>
    </w:p>
    <w:p>
      <w:pPr>
        <w:pStyle w:val="Heading2"/>
      </w:pPr>
      <w:r>
        <w:t>Volltext</w:t>
      </w:r>
    </w:p>
    <w:p>
      <w:r>
        <w:t>Appellationsgericht</w:t>
      </w:r>
    </w:p>
    <w:p>
      <w:r>
        <w:t>des Kantons Basel-Stadt</w:t>
      </w:r>
    </w:p>
    <w:p>
      <w:r>
        <w:t>als Verwaltungsgericht</w:t>
      </w:r>
    </w:p>
    <w:p>
      <w:r>
        <w:t>Dreiergericht</w:t>
      </w:r>
    </w:p>
    <w:p>
      <w:r>
        <w:t>VD.2023.10</w:t>
      </w:r>
    </w:p>
    <w:p>
      <w:r>
        <w:t>VD.2023.20</w:t>
      </w:r>
    </w:p>
    <w:p>
      <w:r>
        <w:t>URTEIL</w:t>
      </w:r>
    </w:p>
    <w:p>
      <w:r>
        <w:t>vom 24. Juli 2023</w:t>
      </w:r>
    </w:p>
    <w:p>
      <w:r>
        <w:t>Mitwirkende</w:t>
      </w:r>
    </w:p>
    <w:p>
      <w:r>
        <w:t>Dr. Stephan Wullschleger, lic. iur. Christan Hoenen, Dr. Andreas Traub</w:t>
      </w:r>
    </w:p>
    <w:p>
      <w:r>
        <w:t>und Gerichtsschreiber MLaw Martin Manyoki</w:t>
      </w:r>
    </w:p>
    <w:p>
      <w:r>
        <w:t>Beteiligte</w:t>
      </w:r>
    </w:p>
    <w:p>
      <w:r>
        <w:t>A____Rekurrent</w:t>
      </w:r>
    </w:p>
    <w:p>
      <w:r>
        <w:t>c/o Gefängnis Bässlergut, Freiburgstrasse 48, 4057 Basel</w:t>
      </w:r>
    </w:p>
    <w:p>
      <w:r>
        <w:t>vertreten durch [...], Advokatin,</w:t>
      </w:r>
    </w:p>
    <w:p>
      <w:r>
        <w:t>[...]</w:t>
      </w:r>
    </w:p>
    <w:p>
      <w:r>
        <w:t>gegen</w:t>
      </w:r>
    </w:p>
    <w:p>
      <w:r>
        <w:t>Abteilung Straf- und Massnahmenvollzug</w:t>
      </w:r>
    </w:p>
    <w:p>
      <w:r>
        <w:t>Amt für Justizvollzug</w:t>
      </w:r>
    </w:p>
    <w:p>
      <w:r>
        <w:t>Spiegelgasse 12, 4051 Basel</w:t>
      </w:r>
    </w:p>
    <w:p>
      <w:r>
        <w:t>Gegenstand</w:t>
      </w:r>
    </w:p>
    <w:p>
      <w:r>
        <w:t>Rekursgegen eine Verfügung der Abteilung Straf- und Massnahmenvollzug vom 16. Januar 2023</w:t>
      </w:r>
    </w:p>
    <w:p>
      <w:r>
        <w:t>betreffend Versetzung in die Sicherheitsabteilung B der Justizvollzugsanstalt Bostadel (VD.2023.10) und</w:t>
      </w:r>
    </w:p>
    <w:p>
      <w:r>
        <w:t>Rekursgegen eine Verfügung der Abteilung Straf- und Massnahmenvollzug vom 7. Februar 2023</w:t>
      </w:r>
    </w:p>
    <w:p>
      <w:r>
        <w:t>betreffend Einweisung in die Sicherheitsabteilung SITRAK I der Justizvollzugsanstalt Lenzburg (VD.2023.20)</w:t>
      </w:r>
    </w:p>
    <w:p>
      <w:r>
        <w:t>Sachverhalt</w:t>
      </w:r>
    </w:p>
    <w:p>
      <w:r>
        <w:t>1.2</w:t>
      </w:r>
    </w:p>
    <w:p>
      <w:r>
        <w:t>1.2.1Der Rekurrent war als Adressat der angefochtenen Verfügungen von diesen im Zeitpunkt ihres Erlasses unmittelbar berührt. Darüber hinaus setzt § 13 Abs. 1 VRPG für die Rekursbefugnis voraus, dass die rekurrierende Person ein schutzwürdiges Interesse an der Aufhebung oder Änderung des angefochtenen Entscheids hat. Um schutzwürdig zu sein, muss das Interesse des Rekurrenten aktuell sein (VGE VD.2014.248 vom 7. Juni 2016 E. 1.2.1, VD.2015.177 vom 1. April 2016 E. 1, VD.2010.12 vom 27. Oktober 2010 E. 1.2;Wullschleger/Schröder, Praktische Fragen des Verwaltungsprozesses im Kanton Basel-Stadt, in: BJM 2005, S. 277, 292). Dies ist dann der Fall, wenn die Anfechtung für den Rekurrenten sowohl beim Einreichen des Rekurses als auch zum Zeitpunkt der Urteilsfällung eine praktische Bedeutung hat und die Gutheissung seines Rechtsmittels ihm einen gegenwärtigen und praktischen Nutzen einträgt in dem Sinn, dass dadurch der Eintritt eines wirtschaftlichen, ideellen, materiellen oder anderweitigen Nachteils verhindert wird (vgl. VGE VD.2017.86 und VD.2017.175 vom 24. November 2017 E. 1.3.1, VD.2010.12 vom 27. Oktober 2010 E. 1.2;Wullschleger/Schröder, a.a.O., S. 292). Mit dem Erfordernis des aktuellen Rechtsschutzinteresses wird sichergestellt, dass dem Gericht nur konkrete und nicht bloss theoretische oder abstrakte Rechtsfragen unterbreitet werden.</w:t>
      </w:r>
    </w:p>
    <w:p>
      <w:r>
        <w:t>Fehlt das aktuelle Rechtsschutzinteresse bereits bei Einreichung des Rekurses, ist auf diesen nicht einzutreten; fällt es im Verlauf des Rekursverfahrens dahin, wird das Verfahren als gegenstandslos abgeschrieben (VGE VD.2016.170 vom 21. August 2017 E. 1.3.1, VD.2010.12 vom 27. Oktober 2010 E. 2.6; vgl. BGE 142 I 135 E. 1.3.1; BGer 2C_1226/2013 vom 11. Mai 2015 E. 1;Schwank,Das verwaltungsinterne Rekursverfahren des Kantons Basel-Stadt, in: Buser [Hrsg.], Neues Handbuch des Staats- und Verwaltungsrechts des Kantons Basel-Stadt, Basel 2008, S. 435, 467). Vom Erfordernis der Aktualität des Interesses kann indes abgesehen werden, wenn sich die mit dem Rekurs aufgeworfenen grundsätzlichen Fragen jeweils unter gleichen oder ähnlichen Umständen wieder stellen könnten, ohne dass im Einzelfall rechtzeitig eine richterliche Prüfung stattfinden könnte (BGE 138 II 42 E. 1.3, 136 II 101 E. 1.1, 135 I 79 E. 1.1, 131 II 670 E. 1.2; BGer 6B_729/2018 vom 26. September 2018 E. 1.2;Stamm, Die Verwaltungsgerichtsbarkeit, in: Buser [Hrsg.], Neues Handbuch des Staats- und Verwaltungsrechts des Kantons Basel-Stadt, Basel 2008, S. 477, 500;Wullschleger/Schröder, a.a.O., S. 292 f.; BGE 126 I 250 E. 1b; VGE VD.2016.170 vom 21. August 2017 E. 1.3.1). Dies gilt in gleichem Masse für das verwaltungsinterne Rekursverfahren (vgl.Schwank,a.a.O., S. 447, mit Hinweisen).</w:t>
      </w:r>
    </w:p>
    <w:p>
      <w:r>
        <w:t>Demgemäss erkennt das Verwaltungsgericht (Dreiergericht):</w:t>
      </w:r>
    </w:p>
    <w:p>
      <w:r>
        <w:t>://:        Die Rekurse werden abgewiesen.</w:t>
      </w:r>
    </w:p>
    <w:p>
      <w:r>
        <w:t>Dem Rekurrenten wird für das verwaltungsgerichtliche Rekursverfahren VD.2023.20 die unentgeltliche Rechtspflege bewilligt.</w:t>
      </w:r>
    </w:p>
    <w:p>
      <w:r>
        <w:t>Der Rekurrent trägt die Gerichtskosten der verwaltungsgerichtlichen Rekursverfahren mit einer Gebühr von je CHF 800., einschliesslich Auslagen. Diese Kosten gehen zufolge Bewilligung der unentgeltlichen Rechtspflege zu Lasten der Gerichtskasse.</w:t>
      </w:r>
    </w:p>
    <w:p>
      <w:r>
        <w:t>Zufolge Bewilligung der unentgeltlichen Rechtspflege wird der Rechtsbeiständin des Rekurrenten, [...], für die verwaltungsrechtlichen Rekursverfahren ein Honorar von CHF 3'200., zuzüglich Auslagen von CHF 96. und 7,7 % MWST von CHF 253.80, aus der Gerichtskasse ausgerichtet.</w:t>
      </w:r>
    </w:p>
    <w:p>
      <w:r>
        <w:t>Mitteilung an:</w:t>
      </w:r>
    </w:p>
    <w:p>
      <w:r>
        <w:t>APPELLATIONSGERICHT BASEL-STADT</w:t>
      </w:r>
    </w:p>
    <w:p>
      <w:r>
        <w:t>Der Gerichtsschreiber</w:t>
      </w:r>
    </w:p>
    <w:p>
      <w:r>
        <w:t>MLaw Martin Manyoki</w:t>
      </w:r>
    </w:p>
    <w:p>
      <w:r>
        <w:t>Rechtsmittelbelehrung</w:t>
      </w:r>
    </w:p>
    <w:p>
      <w:r>
        <w:t>Gegen diesen Entscheid kann unter den Voraussetzungen von Art. 78 ff. des Bundesgerichtsgesetzes (BGG) innert 30 Tagen seit schriftlicher EröffnungBeschwerde in Strafsachenerhoben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