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VD.2022.259 vom 17. Januar 2023</w:t>
      </w:r>
    </w:p>
    <w:p>
      <w:r>
        <w:t>BS Appellationsgericht, 2023-01-17, DE</w:t>
      </w:r>
    </w:p>
    <w:p>
      <w:r>
        <w:rPr>
          <w:b/>
        </w:rPr>
        <w:t xml:space="preserve">Quelle: </w:t>
      </w:r>
      <w:r>
        <w:t>https://mcp.opencaselaw.ch/entscheid/bs_appellationsgericht_VD.2022.259</w:t>
      </w:r>
    </w:p>
    <w:p>
      <w:r>
        <w:t>FR: BS_APPELLATIONSGERICHT VD.2022.259 du 17 janvier 2023</w:t>
      </w:r>
    </w:p>
    <w:p>
      <w:r>
        <w:t>IT: BS_APPELLATIONSGERICHT VD.2022.259 del 17 gennaio 2023</w:t>
      </w:r>
    </w:p>
    <w:p>
      <w:pPr>
        <w:pStyle w:val="Heading2"/>
      </w:pPr>
      <w:r>
        <w:t>Erwägungen</w:t>
      </w:r>
    </w:p>
    <w:p>
      <w:r>
        <w:rPr>
          <w:b/>
        </w:rPr>
        <w:t>E. 1</w:t>
      </w:r>
    </w:p>
    <w:p>
      <w:r>
        <w:t>1.1Die Zuständigkeit des Verwaltungsgerichts für die Beurteilung des vorliegenden Rekurses ergibt sich aus § 33 Abs. 2 des Justizvollzugsgesetzes (JVG, SG 258.200). Gemäss § 88 Abs. 2 in Verbindung mit § 92 Abs. 1 Ziff. 11 des Gerichtsorganisationsgesetzes (GOG, SG 154.100) ist das Dreiergericht zum Entscheid berufen. Der Rekurrent ist als Adressat des angefochtenen Entscheids unmittelbar davon berührt und hat damit ein schutzwürdiges Interesse an dessen Aufhebung oder Abänderung, weshalb er zum Rekurs legitimiert ist.</w:t>
      </w:r>
    </w:p>
    <w:p>
      <w:r>
        <w:rPr>
          <w:b/>
        </w:rPr>
        <w:t>E. 1.2</w:t>
      </w:r>
    </w:p>
    <w:p>
      <w:r>
        <w:t>1.2.1Gemäss § 3 Abs. 1 GOG ist die Amts- und Verfahrenssprache Deutsch. Rekurse sind daher grundsätzlich in deutscher Sprache einzureichen. Ist eine Partei der Verfahrenssprache nicht mächtig, hat sie sich grundsätzlich rechtzeitig um sprachliche Unterstützung zu bemühen (vgl. AGE VD.2015.58 E. 2.4). Nach bundesgerichtlicher Rechtsprechung besteht im Grundsatz kein Anspruch darauf, bei Eingaben eine andere Sprache als die Verfahrenssprache zu verwenden. Um überspitzten Formalismus zu verhindern ist die Verfahrensleitung jedoch dazu verpflichtet, eine zusätzliche Frist zur Übersetzung einzuräumen, soweit sie sich nicht mit dem eingereichten Dokument begnügt (BGE 143 IV 117 E. 2.1). Das Appellationsgericht nimmt in französischer Sprache verfasste Beschwerden in Strafsachen ausnahmsweise entgegen, wenn es sich um kurze und auch für Personen, deren Muttersprache nicht die verwendete Sprache ist, leicht verständliche Eingaben handelt (vgl. AGE BES.2017.89 vom 7. Juli 2017 E. 1.4, BES.2017.1 vom 13. März 2017 E. 1.2). Vorliegend wurden der Rekurs und die weiteren Eingaben in französischer Sprache und damit in einer hiesigen Landessprache verfasst. Die Eingaben sind zudem zweifelsohne kurz und in einfacher Sprache gehalten. Sie werden somit im Sinne der vorstehenden Ausführungen  und anlehnend an die Praxis des Appellationsgerichts zur Zulässigkeit fremdsprachiger Beschwerden in Strafsachen  ausnahmsweise entgegengenommen.</w:t>
      </w:r>
    </w:p>
    <w:p>
      <w:r>
        <w:t>1.2.2Dessen ungeachtet besteht kein Anlass, auch bei der Redaktion des Beschwerdeentscheids von der im Kanton Basel-Stadt einzigen Amtssprache Deutsch abzuweichen (vgl. AGE BES.2020.145 vom 31. Januar 2021 E. 3, BES.2018.97 vom 20. Juni 2018 E. 1.2). Allerdings werden das Dispositiv und die Rechtsmittelbelehrung des vorliegenden Beschwerdeentscheids auf Französisch übersetzt (vgl. AGE SB.2019.104 vom 9. Januar 2020 E. 2.2, VD.2022.45 vom 15. Mai 2022 E. E.1.2.2; BGE 143 IV 117 E. 3).</w:t>
      </w:r>
    </w:p>
    <w:p>
      <w:r>
        <w:rPr>
          <w:b/>
        </w:rPr>
        <w:t>E. 1.3</w:t>
      </w:r>
    </w:p>
    <w:p>
      <w:r>
        <w:t>1.3.1Gemäss der Rechtsprechung zu § 16 Abs. 2 VRPG hat eine rekurrierende Partei ihren Standpunkt in ihrer Rechtsmittelbegründung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VG.2019.1 vom 16. Oktober 2019 E. 1.3.2, VD.2018.40 vom 16. Oktober 2018 E. 1.4.1, VD.2017.23 vom 2. Mai 2017 E. 1.2, VD.2016.62 vom 30. September 2016 E. 1.2.1;Wullschleger/Schröder, Praktische Fragen des Verwaltungsprozesses im Kanton Basel-Stadt, in: BJM 2005, S. 277, 305). Bei juristischen Laien werden an die Substantiierung des Rechtsmittels allerdings keine allzu hohen Anforderungen gestellt (VGE VG.2019.1 vom 16. Oktober 2019 E. 1.3.2, VD.2017.23 vom 2. Mai 2017 E. 1.2, VD.2016.158 vom 12. April 2017 E. 1.2.2; vgl.Wullschleger/Schröder, a.a.O., S. 277, 305). Es genügt, dass aus einer auch knapp ausgefallenen, summarischen Begründung zumindest ersehen werden kann, worum es dem Rekurrenten geht und welche Argumente er berücksichtigt wissen will (VGE VG.2019.1 vom 16. Oktober 2019 E. 1.3.2, VD.2017.294 vom 9. Juli 2018 E. 1.2.1, VD.2016.117 vom 15. August 2016 E. 1.3.2;Wullschleger/Schröder, a.a.O., S. 277, 305).</w:t>
      </w:r>
    </w:p>
    <w:p>
      <w:r>
        <w:t>1.3.2Der Rekurrent wendet sich in seiner verbesserten Begründung vom 15. Dezember 2022 lediglich gegen den zu vollziehenden Strafbefehl vom 7. Oktober 2022. Er macht sinngemäss geltend, dass er während seines Polizeigewahrsams vom 6. Oktober 2022 bis zum 7. Oktober 2022 nie über seine Rechte aufgeklärt worden sei, keine mündliche Verhandlung stattgefunden habe, er weder seine Familie noch einen Anwalt habe anrufen können und er auch keinen Arzt habe sehen dürfen. Er habe den Empfang des Strafbefehls zwar unterschrieben, dieser sei ihm aber wieder weggenommen worden.</w:t>
      </w:r>
    </w:p>
    <w:p>
      <w:r>
        <w:t>Wie bereits im angefochtenen Vollzugsbefehl vermerkt, ist der Strafbefehl vom 7. Oktober 2022 gegen den Rekurrenten in Rechtskraft erwachsen, was diesem denn auch durchaus bewusst ist («car malgré ma peine entre en force le 13° Novembre[,] jai toujours le droit davoir un recoure», act. 7). Entgegen der Ansicht des Rekurrenten kann der fragliche Strafbefehl jedoch nicht Streitgegenstand des vorliegenden Rekursverfahrens darstellen, zumal im Rahmen der Vollzugsanordnung bzw. des verwaltungsgerichtlichen Rekursverfahrens nicht mehr über den rechtskräftigen Schuldspruch und die damals angeordnete Strafe befunden werden kann. Der Rekurrent hätte diesbezüglich vielmehr vor Eintreten der Rechtskraft des Strafbefehls Einsprache erheben müssen.</w:t>
      </w:r>
    </w:p>
    <w:p>
      <w:r>
        <w:t>Im Übrigen setzt sich der Rekurrent mit den Erwägungen der Verfügung vom 14. November 2022 nicht auseinander. Damit kommt er seiner Begründungspflicht nicht einmal ansatzweise nach.</w:t>
      </w:r>
    </w:p>
    <w:p>
      <w:r>
        <w:t>1.3.3Insgesamt fehlt es daher selbst nach den für Laien geltenden geringeren Anforderungen an einer rechtsgenüglichen Rekursbegründung.</w:t>
      </w:r>
    </w:p>
    <w:p>
      <w:r>
        <w:rPr>
          <w:b/>
        </w:rPr>
        <w:t>E. 2</w:t>
      </w:r>
    </w:p>
    <w:p>
      <w:r>
        <w:t>Aus den vorstehenden Erwägungen folgt, dass auf den Rekurs nicht einzutreten ist. Bei diesem Ausgang des Verfahrens wären dessen Kosten grundsätzlich dem Rekurrenten aufzuerlegen (§ 30 Abs. 1 VRPG in Verbindung mit § 23 des Gerichtsgebührenreglements [GGR, SG 154.810]). Auf die Erhebung von Gerichtskosten wird jedoch umständehalber verzichtet (§ 40 Abs. 1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