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VD.2022.232 vom 22. September 2023</w:t>
      </w:r>
    </w:p>
    <w:p>
      <w:r>
        <w:t>BS Appellationsgericht, 2023-09-22, DE</w:t>
      </w:r>
    </w:p>
    <w:p>
      <w:r>
        <w:rPr>
          <w:b/>
        </w:rPr>
        <w:t xml:space="preserve">Quelle: </w:t>
      </w:r>
      <w:r>
        <w:t>https://mcp.opencaselaw.ch/entscheid/bs_appellationsgericht_VD.2022.232</w:t>
      </w:r>
    </w:p>
    <w:p>
      <w:r>
        <w:t>FR: BS_APPELLATIONSGERICHT VD.2022.232 du 22 septembre 2023</w:t>
      </w:r>
    </w:p>
    <w:p>
      <w:r>
        <w:t>IT: BS_APPELLATIONSGERICHT VD.2022.232 del 22 settembre 2023</w:t>
      </w:r>
    </w:p>
    <w:p>
      <w:pPr>
        <w:pStyle w:val="Heading2"/>
      </w:pPr>
      <w:r>
        <w:t>Volltext</w:t>
      </w:r>
    </w:p>
    <w:p>
      <w:r>
        <w:t>Appellationsgericht</w:t>
      </w:r>
    </w:p>
    <w:p>
      <w:r>
        <w:t>des Kantons Basel-Stadt</w:t>
      </w:r>
    </w:p>
    <w:p>
      <w:r>
        <w:t>als Verwaltungsgericht</w:t>
      </w:r>
    </w:p>
    <w:p>
      <w:r>
        <w:t>Dreiergericht</w:t>
      </w:r>
    </w:p>
    <w:p>
      <w:r>
        <w:t>VD.2022.232</w:t>
      </w:r>
    </w:p>
    <w:p>
      <w:r>
        <w:t>URTEIL</w:t>
      </w:r>
    </w:p>
    <w:p>
      <w:r>
        <w:t>vom22. September 2023</w:t>
      </w:r>
    </w:p>
    <w:p>
      <w:r>
        <w:t>Mitwirkende</w:t>
      </w:r>
    </w:p>
    <w:p>
      <w:r>
        <w:t>Dr. Stephan Wullschleger, lic. iur. André Equey, MLaw Anja Dillena</w:t>
      </w:r>
    </w:p>
    <w:p>
      <w:r>
        <w:t>und Gerichtsschreiber Dr. Alexander Zürcher</w:t>
      </w:r>
    </w:p>
    <w:p>
      <w:r>
        <w:t>Beteiligte</w:t>
      </w:r>
    </w:p>
    <w:p>
      <w:r>
        <w:t>A____Rekurrent</w:t>
      </w:r>
    </w:p>
    <w:p>
      <w:r>
        <w:t>c/o Frau B____, [...]</w:t>
      </w:r>
    </w:p>
    <w:p>
      <w:r>
        <w:t>vertreten durch [...], Rechtsanwältin,</w:t>
      </w:r>
    </w:p>
    <w:p>
      <w:r>
        <w:t>[...]</w:t>
      </w:r>
    </w:p>
    <w:p>
      <w:r>
        <w:t>gegen</w:t>
      </w:r>
    </w:p>
    <w:p>
      <w:r>
        <w:t>Bereich Bevölkerungsdienste und Migration</w:t>
      </w:r>
    </w:p>
    <w:p>
      <w:r>
        <w:t>Migrationsamt</w:t>
      </w:r>
    </w:p>
    <w:p>
      <w:r>
        <w:t>Spiegelgasse 12, 4001 Basel</w:t>
      </w:r>
    </w:p>
    <w:p>
      <w:r>
        <w:t>Gegenstand</w:t>
      </w:r>
    </w:p>
    <w:p>
      <w:r>
        <w:t>Rekursgegen einen Entscheid des Justiz- und Sicherheitsdepartements</w:t>
      </w:r>
    </w:p>
    <w:p>
      <w:r>
        <w:t>vom 26. August 2022</w:t>
      </w:r>
    </w:p>
    <w:p>
      <w:r>
        <w:t>betreffend Härtefallbewilligung</w:t>
      </w:r>
    </w:p>
    <w:p>
      <w:r>
        <w:t>1.</w:t>
      </w:r>
    </w:p>
    <w:p>
      <w:r>
        <w:t>1.1Die Zuständigkeit des Verwaltungsgerichts zur Beurteilung des Rekurses ergibt sich aus dem Überweisungsbeschluss des Regierungsrats vom 12. Oktober 2022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oder Abänderung. Er ist deshalb gemäss § 13 Abs. 1 VRPG zum Rekurs legitimiert.</w:t>
      </w:r>
    </w:p>
    <w:p>
      <w:r>
        <w:t>1.2</w:t>
      </w:r>
    </w:p>
    <w:p>
      <w:r>
        <w:t>1.2.1Für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und VD.2010.160 vom 11. Oktober 2010 E. 1.1). Gemäss bundesgerichtlicher Rechtsprechung und in Anwendung von Art. 110 des Bundesgerichtsgesetzes (BGG, SR173.110) sind bei der Prüfung der materiellen Rechtmässigkeit eines ausländerrechtlichen Entscheids durch das kantonale Gericht die tatsächlichen Verhältnisse massgebend, wie sie im Zeitpunkt des Gerichtsentscheids vorherrschen (vgl. BGE 127 II 60 E. 1b; BGer 2C_42/2011 vom 23. August 2012 E. 5.3; VGE VD.2019.75 vom 26. Juni 2019 E. 1.3 und VD.2015.240 vom 19. September 2016 E.1.2). Noven sind deshalb in diesem Fall zulässig, obwohl das Verwaltungsgericht nach kantonalem Recht grundsätzlich bloss eine nachträgliche Verwaltungskontrolle ausübt (VGEVD.2017.168 vom 9. Februar 2018 E. 1.2,VD.2016.52 vom 5. Februar 2017 E. 1.2 undVD.2015.241 vom 21. September 2016 E. 1).</w:t>
      </w:r>
    </w:p>
    <w:p>
      <w:r>
        <w:t>1.2.2Im verwaltungsgerichtlichen Rekursverfahren gilt das Rügeprinzip. Das Gericht prüft einen angefochtenen Entscheid gestützt auf die Begründungsobliegenheit gemäss § 46 Abs. 2 OG und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 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t>2.2.1Gemäss Art. 30 Abs. 1 lit. b des Ausländer- und Integrationsgesetzes (AIG, SR 142.20) kann von den Zulassungsvoraussetzungen gemäss Art. 18 bis 29 AIG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BGer 2C_10/2023 vom 31. Mai 2023 E. 1.3 und 2C_373/2013 vom 8. Mai 2013 E. 3.1). Die Behörde hat ihr Ermessen aber rechtsgleich, willkürfrei und verhältnismässig auszuüben (VGE VD. 2021.47 vom 18. Februar 2022 E. 2.1 und VD.2017.88 vom 27. September 2017 E. 5.1;Spescha, in: Spescha et al. [Hrsg.], Kommentar Migrationsrecht, 5. Auflage, Zürich 2019, Art. 30AIGN 1;Good/Bosshard, in: Caroni et al. [Hrsg.], Handkommentar Ausländergesetz, Bern 2010, Art. 30 N 2). Vorbehalten bleibt zudem ein verfassungs- bzw. konventionsrechtlicher Aufenthaltsanspruch aufgrund des Rechts auf Familienleben gemäss Art. 13 der Bundesverfassung (BV, SR 101) bzw. Art. 8 EMRK.</w:t>
      </w:r>
    </w:p>
    <w:p>
      <w:r>
        <w:t>2.2.2Art. 8 EMRK verschafft praxisgemäss keinen Anspruch auf Einreise und Aufenthalt oder auf einen Aufenthaltstitel (statt vieler BGE 142 II 35 E. 6.1). Das Recht auf Achtung des Familienlebens ist aber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und 143 I 21 E. 5.1). Zum geschützten Familienkreis gehört in erster Linie die Kernfamilie, d.h. die Gemeinschaft der Ehegatten bzw. die Eltern mit ihren minderjährigen Kindern.Bei einem Ausländer, der sich für seinen dauernden Aufenthalt hierzulande auf seine Beziehung zum hier gefestigt anwesenheitsberechtigten Kind beruft, kommen die Erteilung oder Verlängerung einer Aufenthaltsbewilligung gemäss der Rechtsprechung grundsätzlich nur dann in Betracht, wenn zwischen ihm und seinem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VD.2019.236 vom 7. Juni 2020 E. 5.2.4, mit Verweis auf BGE 142 II 35 E. 6.2 und 139 I 315 E. 2.2; BGer 2C_423/2018 vom 18. Oktober 2018 E. 2.1 und weiteren Hinweisen).</w:t>
      </w:r>
    </w:p>
    <w:p>
      <w:r>
        <w:t>Der Anspruch auf Achtung des Privat- und Familienlebens gemäss Art. 8 Abs. 1 EMRK gilt aber nicht absolut. Diese Bestimmung hindert die Konventionsstaaten nicht daran, die Anwesenheit auf ihrem Staatsgebiet zu regeln und den Aufenthalt ausländischer Personen unter Beachtung überwiegender Interessen des Familien- und Privatlebens gegebenenfalls auch wieder zu beenden (statt vieler BGE 142 II 35 E. 6.1 und 138 I 246 E. 3.2.1). Der konventionsrechtliche Anspruch auf Achtung des Privat- und Familienlebens kann rechtmässig eingeschränkt werden, wenn dies gesetzlich vorgesehen ist, einem legitimen Zweck entspricht und zu dessen Realisierung in einer demokratischen Gesellschaft notwendig erscheint (Art. 8 Ziff. 2 EMRK). Das Verfassungs- und das Konventionsrecht gebieten praxisgemäss, die individuellen Anliegen an der Erteilung bzw. am Erhalt des Anwesenheitsrechts und die öffentlichen Interessen an dessen Beendigung gegeneinander abzuwägen (Art. 13 Abs. 1 in Verbindung mit Art. 36 Abs. 3 BV sowie Art. 8 Ziff. 2 EMRK; BGer 2C_459/2021 vom 3. September 2021 E. 4.2 mit Hinweis auf BGE 135 I 153 E. 2.2.1 und 2C_260/2022 vom 23. August 2022 E. 5.1 mit weiteren Hinweisen).</w:t>
      </w:r>
    </w:p>
    <w:p>
      <w:r>
        <w:t>3.1Nach dem Gesagten ist zusammenfassend festzustellen, dass der Rekurs gegen die Nichterteilung einer Aufenthaltsbewilligung abzuweisen ist. Unter diesen Umständen trägt er die Kosten des verwaltungsgerichtlichen Verfahrens (§ 30 Abs. 1 VRPG).</w:t>
      </w:r>
    </w:p>
    <w:p>
      <w:r>
        <w:t>3.2</w:t>
      </w:r>
    </w:p>
    <w:p>
      <w:r>
        <w:t>3.2.1DerRekurrenthat für den Fall des Unterliegens um Gewährung der unentgeltlichen Rechtspflege nachgesucht. Nach Art. 29 Abs. 3 BV hat jede Person, die nicht über die erforderlichen Mittel verfügt, Anspruch aufunentgeltliche Rechtspflege, wenn ihr Rechtsbegehren nicht aussichtslos erscheint. Soweit es sich zur Wahrung ihrer Rechte notwendig erweist, hat sie ausserdem Anspruch auf einen unentgeltlichen Rechtsbeistand. Voraussetzung für dieunentgeltliche Rechtspflegeist somit die Bedürftigkeit des Betroffenen und die Nichtaussichtslosigkeit der Rechtssache (statt vieler VGE VD.2019.187 vom 9. März 2020 E. 2.2.1). 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138 III 217 E. 2.2.4 S. 218; VGE VD.2019.187 vom 9. März 2020 E. 2.2.1).</w:t>
      </w:r>
    </w:p>
    <w:p>
      <w:r>
        <w:t>://:        Der Rekurs wird abgewiesen, soweit darauf eingetreten werden kann.</w:t>
      </w:r>
    </w:p>
    <w:p>
      <w:r>
        <w:t>DemRekurrenten wird für das verwaltungsgerichtliche Rekursverfahren die unentgeltliche Rechtspflege mit Rechtsanwältin [...] als unentgeltlicher Rechtsbeiständin bewilligt.</w:t>
      </w:r>
    </w:p>
    <w:p>
      <w:r>
        <w:t>DerRekurrentträgt die Gerichtskosten des verwaltungsgerichtlichen Rekursverfahrens mit einer Gebühr von CHF 1'200., einschliesslich Auslagen. Diese Kosten gehen zufolge Bewilligung der unentgeltlichen Rechtspflege zu Lasten der Gerichtskasse.</w:t>
      </w:r>
    </w:p>
    <w:p>
      <w:r>
        <w:t>Zufolge Bewilligung der unentgeltlichen Verbeiständung wird der Vertreterin desRekurrenten, [...], für das verwaltungsgerichtliche Rekursverfahren ein Honorar von CHF 2'472., zuzüglich 7,7 % MWST von CHF 190.35, aus der Gerichtskasse ausgerichtet.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